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5D7D" w:rsidRDefault="00CD5D7D" w:rsidP="00CD5D7D">
      <w:pPr>
        <w:suppressLineNumbers/>
        <w:rPr>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CD5D7D" w:rsidTr="0023346B">
        <w:trPr>
          <w:jc w:val="center"/>
        </w:trPr>
        <w:tc>
          <w:tcPr>
            <w:tcW w:w="743" w:type="dxa"/>
          </w:tcPr>
          <w:p w:rsidR="00CD5D7D" w:rsidRDefault="00CD5D7D" w:rsidP="0023346B">
            <w:pPr>
              <w:suppressLineNumbers/>
              <w:jc w:val="both"/>
              <w:rPr>
                <w:rFonts w:ascii="Arial" w:hAnsi="Arial"/>
                <w:b/>
                <w:bCs/>
                <w:sz w:val="26"/>
                <w:szCs w:val="26"/>
                <w:rtl/>
              </w:rPr>
            </w:pPr>
          </w:p>
          <w:p w:rsidR="00CD5D7D" w:rsidRDefault="00CD5D7D" w:rsidP="0023346B">
            <w:pPr>
              <w:suppressLineNumbers/>
              <w:jc w:val="both"/>
              <w:rPr>
                <w:rFonts w:ascii="Arial" w:hAnsi="Arial"/>
                <w:b/>
                <w:bCs/>
                <w:sz w:val="26"/>
                <w:szCs w:val="26"/>
                <w:rtl/>
              </w:rPr>
            </w:pPr>
          </w:p>
          <w:p w:rsidR="00CD5D7D" w:rsidRDefault="00CD5D7D" w:rsidP="0023346B">
            <w:pPr>
              <w:suppressLineNumbers/>
              <w:jc w:val="both"/>
              <w:rPr>
                <w:rFonts w:ascii="Arial" w:hAnsi="Arial"/>
                <w:b/>
                <w:bCs/>
                <w:sz w:val="26"/>
                <w:szCs w:val="26"/>
                <w:rtl/>
              </w:rPr>
            </w:pPr>
          </w:p>
          <w:p w:rsidR="00CD5D7D" w:rsidRDefault="00CD5D7D" w:rsidP="0023346B">
            <w:pPr>
              <w:suppressLineNumbers/>
              <w:jc w:val="both"/>
              <w:rPr>
                <w:rFonts w:ascii="Arial" w:hAnsi="Arial"/>
                <w:b/>
                <w:bCs/>
                <w:sz w:val="26"/>
                <w:szCs w:val="26"/>
                <w:rtl/>
              </w:rPr>
            </w:pPr>
          </w:p>
          <w:p w:rsidR="00CD5D7D" w:rsidRPr="008A59EE" w:rsidRDefault="00CD5D7D" w:rsidP="0023346B">
            <w:pPr>
              <w:suppressLineNumbers/>
              <w:jc w:val="both"/>
              <w:rPr>
                <w:rFonts w:ascii="Arial" w:hAnsi="Arial"/>
                <w:b/>
                <w:bCs/>
                <w:sz w:val="26"/>
                <w:szCs w:val="26"/>
                <w:rtl/>
              </w:rPr>
            </w:pPr>
          </w:p>
        </w:tc>
        <w:tc>
          <w:tcPr>
            <w:tcW w:w="8077" w:type="dxa"/>
            <w:gridSpan w:val="2"/>
          </w:tcPr>
          <w:p w:rsidR="00CD5D7D" w:rsidRDefault="00CD5D7D" w:rsidP="0023346B">
            <w:pPr>
              <w:suppressLineNumbers/>
              <w:rPr>
                <w:rFonts w:ascii="Arial" w:hAnsi="Arial"/>
                <w:b/>
                <w:bCs/>
                <w:sz w:val="26"/>
                <w:szCs w:val="26"/>
                <w:rtl/>
              </w:rPr>
            </w:pPr>
          </w:p>
          <w:p w:rsidR="00CD5D7D" w:rsidRDefault="00CD5D7D" w:rsidP="00CD5D7D">
            <w:pPr>
              <w:pStyle w:val="a7"/>
              <w:jc w:val="center"/>
              <w:rPr>
                <w:rFonts w:cs="FrankRuehl"/>
                <w:noProof w:val="0"/>
                <w:sz w:val="28"/>
                <w:szCs w:val="28"/>
                <w:rtl/>
              </w:rPr>
            </w:pPr>
            <w:r>
              <w:rPr>
                <w:rFonts w:cs="FrankRuehl"/>
                <w:sz w:val="28"/>
                <w:szCs w:val="28"/>
                <w:rtl/>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margin">
                        <wp:align>center</wp:align>
                      </wp:positionV>
                      <wp:extent cx="6071870" cy="1104265"/>
                      <wp:effectExtent l="0" t="1892935" r="0" b="1965325"/>
                      <wp:wrapNone/>
                      <wp:docPr id="3" name="תיבת טקסט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6071870" cy="110426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CD5D7D" w:rsidRDefault="00CD5D7D" w:rsidP="00CD5D7D">
                                  <w:pPr>
                                    <w:pStyle w:val="NormalWeb"/>
                                    <w:bidi/>
                                    <w:spacing w:before="0" w:beforeAutospacing="0" w:after="0" w:afterAutospacing="0"/>
                                    <w:jc w:val="cente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תיבת טקסט 3" o:spid="_x0000_s1026" type="#_x0000_t202" style="position:absolute;left:0;text-align:left;margin-left:0;margin-top:0;width:478.1pt;height:86.9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" filled="f" stroked="f">
                      <v:stroke joinstyle="round"/>
                      <o:lock v:ext="edit" aspectratio="t" shapetype="t"/>
                      <v:textbox style="mso-fit-shape-to-text:t">
                        <w:txbxContent>
                          <w:p w:rsidR="00CD5D7D" w:rsidRDefault="00CD5D7D" w:rsidP="00CD5D7D">
                            <w:pPr>
                              <w:pStyle w:val="NormalWeb"/>
                              <w:bidi/>
                              <w:spacing w:before="0" w:beforeAutospacing="0" w:after="0" w:afterAutospacing="0"/>
                              <w:jc w:val="center"/>
                            </w:pPr>
                          </w:p>
                        </w:txbxContent>
                      </v:textbox>
                      <w10:wrap anchorx="margin" anchory="margin"/>
                    </v:shape>
                  </w:pict>
                </mc:Fallback>
              </mc:AlternateContent>
            </w:r>
            <w:r>
              <w:rPr>
                <w:rFonts w:cs="FrankRuehl"/>
                <w:sz w:val="28"/>
                <w:szCs w:val="28"/>
              </w:rPr>
              <w:drawing>
                <wp:inline distT="0" distB="0" distL="0" distR="0" wp14:anchorId="49DA074C" wp14:editId="4C56C899">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554"/>
              <w:gridCol w:w="3307"/>
            </w:tblGrid>
            <w:tr w:rsidR="00CD5D7D" w:rsidTr="0023346B">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CD5D7D" w:rsidRPr="00F038D8" w:rsidRDefault="00CD5D7D" w:rsidP="0023346B">
                      <w:pPr>
                        <w:pStyle w:val="a7"/>
                        <w:jc w:val="center"/>
                        <w:rPr>
                          <w:rFonts w:ascii="Tahoma" w:hAnsi="Tahoma"/>
                          <w:noProof w:val="0"/>
                          <w:color w:val="000080"/>
                          <w:sz w:val="32"/>
                          <w:szCs w:val="32"/>
                          <w:rtl/>
                        </w:rPr>
                      </w:pPr>
                      <w:r w:rsidRPr="00F038D8">
                        <w:rPr>
                          <w:rFonts w:ascii="Tahoma" w:hAnsi="Tahoma"/>
                          <w:color w:val="000080"/>
                          <w:sz w:val="32"/>
                          <w:szCs w:val="32"/>
                          <w:rtl/>
                        </w:rPr>
                        <w:t>בית המשפט המחוזי בבאר שבע</w:t>
                      </w:r>
                    </w:p>
                  </w:tc>
                </w:sdtContent>
              </w:sdt>
            </w:tr>
            <w:tr w:rsidR="00CD5D7D" w:rsidTr="0023346B">
              <w:trPr>
                <w:trHeight w:val="337"/>
                <w:jc w:val="center"/>
              </w:trPr>
              <w:tc>
                <w:tcPr>
                  <w:tcW w:w="5047" w:type="dxa"/>
                </w:tcPr>
                <w:p w:rsidR="00CD5D7D" w:rsidRDefault="00CD5D7D" w:rsidP="0023346B">
                  <w:pPr>
                    <w:rPr>
                      <w:b/>
                      <w:bCs/>
                      <w:noProof w:val="0"/>
                      <w:sz w:val="26"/>
                      <w:szCs w:val="26"/>
                      <w:rtl/>
                    </w:rPr>
                  </w:pPr>
                </w:p>
              </w:tc>
              <w:tc>
                <w:tcPr>
                  <w:tcW w:w="3674" w:type="dxa"/>
                </w:tcPr>
                <w:p w:rsidR="00CD5D7D" w:rsidRDefault="00CD5D7D" w:rsidP="0023346B">
                  <w:pPr>
                    <w:pStyle w:val="a7"/>
                    <w:jc w:val="right"/>
                    <w:rPr>
                      <w:b/>
                      <w:bCs/>
                      <w:noProof w:val="0"/>
                      <w:sz w:val="26"/>
                      <w:szCs w:val="26"/>
                      <w:rtl/>
                    </w:rPr>
                  </w:pPr>
                </w:p>
              </w:tc>
            </w:tr>
            <w:tr w:rsidR="00CD5D7D" w:rsidTr="0023346B">
              <w:trPr>
                <w:trHeight w:val="337"/>
                <w:jc w:val="center"/>
              </w:trPr>
              <w:tc>
                <w:tcPr>
                  <w:tcW w:w="8721" w:type="dxa"/>
                  <w:gridSpan w:val="2"/>
                </w:tcPr>
                <w:p w:rsidR="00CD5D7D" w:rsidRDefault="007317F4" w:rsidP="00CD5D7D">
                  <w:pPr>
                    <w:rPr>
                      <w:b/>
                      <w:bCs/>
                      <w:noProof w:val="0"/>
                      <w:sz w:val="26"/>
                      <w:szCs w:val="26"/>
                      <w:rtl/>
                    </w:rPr>
                  </w:pPr>
                  <w:sdt>
                    <w:sdtPr>
                      <w:rPr>
                        <w:rtl/>
                      </w:rPr>
                      <w:alias w:val="1170"/>
                      <w:tag w:val="1170"/>
                      <w:id w:val="1066377040"/>
                      <w:text w:multiLine="1"/>
                    </w:sdtPr>
                    <w:sdtEndPr/>
                    <w:sdtContent>
                      <w:proofErr w:type="spellStart"/>
                      <w:r w:rsidR="00CD5D7D">
                        <w:rPr>
                          <w:b/>
                          <w:bCs/>
                          <w:noProof w:val="0"/>
                          <w:sz w:val="26"/>
                          <w:szCs w:val="26"/>
                          <w:rtl/>
                        </w:rPr>
                        <w:t>רמ"ש</w:t>
                      </w:r>
                      <w:proofErr w:type="spellEnd"/>
                    </w:sdtContent>
                  </w:sdt>
                  <w:r w:rsidR="00CD5D7D">
                    <w:rPr>
                      <w:b/>
                      <w:bCs/>
                      <w:noProof w:val="0"/>
                      <w:sz w:val="26"/>
                      <w:szCs w:val="26"/>
                      <w:rtl/>
                    </w:rPr>
                    <w:t xml:space="preserve"> </w:t>
                  </w:r>
                  <w:bookmarkStart w:id="0" w:name="_GoBack"/>
                  <w:sdt>
                    <w:sdtPr>
                      <w:rPr>
                        <w:rtl/>
                      </w:rPr>
                      <w:alias w:val="1171"/>
                      <w:tag w:val="1171"/>
                      <w:id w:val="257034231"/>
                      <w:text w:multiLine="1"/>
                    </w:sdtPr>
                    <w:sdtEndPr/>
                    <w:sdtContent>
                      <w:r w:rsidR="00CD5D7D">
                        <w:rPr>
                          <w:b/>
                          <w:bCs/>
                          <w:noProof w:val="0"/>
                          <w:sz w:val="26"/>
                          <w:szCs w:val="26"/>
                          <w:rtl/>
                        </w:rPr>
                        <w:t>15610-06-23</w:t>
                      </w:r>
                    </w:sdtContent>
                  </w:sdt>
                  <w:bookmarkEnd w:id="0"/>
                  <w:r w:rsidR="00CD5D7D">
                    <w:rPr>
                      <w:b/>
                      <w:bCs/>
                      <w:noProof w:val="0"/>
                      <w:sz w:val="26"/>
                      <w:szCs w:val="26"/>
                      <w:rtl/>
                    </w:rPr>
                    <w:t xml:space="preserve"> </w:t>
                  </w:r>
                  <w:sdt>
                    <w:sdtPr>
                      <w:rPr>
                        <w:b/>
                        <w:bCs/>
                        <w:noProof w:val="0"/>
                        <w:sz w:val="26"/>
                        <w:szCs w:val="26"/>
                        <w:rtl/>
                      </w:rPr>
                      <w:alias w:val="3154"/>
                      <w:tag w:val="3154"/>
                      <w:id w:val="-1714497037"/>
                      <w:placeholder>
                        <w:docPart w:val="6C6E26CFFB894989AAF8B0E2BE09F19D"/>
                      </w:placeholder>
                      <w:text w:multiLine="1"/>
                    </w:sdtPr>
                    <w:sdtEndPr/>
                    <w:sdtContent>
                      <w:r w:rsidR="00CD5D7D">
                        <w:rPr>
                          <w:rFonts w:hint="cs"/>
                          <w:b/>
                          <w:bCs/>
                          <w:noProof w:val="0"/>
                          <w:sz w:val="26"/>
                          <w:szCs w:val="26"/>
                          <w:rtl/>
                        </w:rPr>
                        <w:t xml:space="preserve">פלוני </w:t>
                      </w:r>
                      <w:r w:rsidR="00CD5D7D">
                        <w:rPr>
                          <w:b/>
                          <w:bCs/>
                          <w:noProof w:val="0"/>
                          <w:sz w:val="26"/>
                          <w:szCs w:val="26"/>
                          <w:rtl/>
                        </w:rPr>
                        <w:t xml:space="preserve">נ' </w:t>
                      </w:r>
                      <w:r w:rsidR="00CD5D7D">
                        <w:rPr>
                          <w:rFonts w:hint="cs"/>
                          <w:b/>
                          <w:bCs/>
                          <w:noProof w:val="0"/>
                          <w:sz w:val="26"/>
                          <w:szCs w:val="26"/>
                          <w:rtl/>
                        </w:rPr>
                        <w:t>אלמונית</w:t>
                      </w:r>
                    </w:sdtContent>
                  </w:sdt>
                  <w:r w:rsidR="00CD5D7D">
                    <w:rPr>
                      <w:b/>
                      <w:bCs/>
                      <w:noProof w:val="0"/>
                      <w:sz w:val="26"/>
                      <w:szCs w:val="26"/>
                      <w:rtl/>
                    </w:rPr>
                    <w:t xml:space="preserve"> </w:t>
                  </w:r>
                </w:p>
                <w:p w:rsidR="00CD5D7D" w:rsidRPr="007B7765" w:rsidRDefault="00CD5D7D" w:rsidP="0023346B">
                  <w:pPr>
                    <w:rPr>
                      <w:b/>
                      <w:bCs/>
                      <w:noProof w:val="0"/>
                      <w:sz w:val="2"/>
                      <w:szCs w:val="2"/>
                      <w:rtl/>
                    </w:rPr>
                  </w:pPr>
                </w:p>
                <w:p w:rsidR="00CD5D7D" w:rsidRDefault="00CD5D7D" w:rsidP="0023346B">
                  <w:pPr>
                    <w:rPr>
                      <w:sz w:val="20"/>
                      <w:szCs w:val="20"/>
                      <w:rtl/>
                    </w:rPr>
                  </w:pPr>
                  <w:r>
                    <w:rPr>
                      <w:rFonts w:hint="cs"/>
                      <w:rtl/>
                    </w:rPr>
                    <w:t xml:space="preserve">                           </w:t>
                  </w:r>
                  <w:r>
                    <w:rPr>
                      <w:rFonts w:hint="cs"/>
                      <w:sz w:val="20"/>
                      <w:szCs w:val="20"/>
                      <w:rtl/>
                    </w:rPr>
                    <w:t xml:space="preserve">                                       </w:t>
                  </w:r>
                </w:p>
                <w:p w:rsidR="00CD5D7D" w:rsidRPr="00E1068A" w:rsidRDefault="00CD5D7D" w:rsidP="0023346B">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9AFC13C500C04921A28F418F942C4EEF"/>
                      </w:placeholder>
                      <w:text w:multiLine="1"/>
                    </w:sdtPr>
                    <w:sdtEndPr/>
                    <w:sdtContent/>
                  </w:sdt>
                  <w:r w:rsidRPr="00E1068A">
                    <w:rPr>
                      <w:rFonts w:hint="cs"/>
                      <w:sz w:val="20"/>
                      <w:szCs w:val="20"/>
                      <w:rtl/>
                    </w:rPr>
                    <w:t xml:space="preserve"> </w:t>
                  </w:r>
                  <w:r w:rsidRPr="00E1068A">
                    <w:rPr>
                      <w:sz w:val="20"/>
                      <w:szCs w:val="20"/>
                      <w:rtl/>
                    </w:rPr>
                    <w:t xml:space="preserve"> </w:t>
                  </w:r>
                  <w:r>
                    <w:rPr>
                      <w:sz w:val="20"/>
                      <w:szCs w:val="20"/>
                      <w:rtl/>
                    </w:rPr>
                    <w:t xml:space="preserve"> </w:t>
                  </w:r>
                </w:p>
              </w:tc>
            </w:tr>
          </w:tbl>
          <w:p w:rsidR="00CD5D7D" w:rsidRDefault="00CD5D7D" w:rsidP="0023346B">
            <w:pPr>
              <w:suppressLineNumbers/>
              <w:rPr>
                <w:rFonts w:ascii="Arial" w:hAnsi="Arial"/>
                <w:b/>
                <w:bCs/>
                <w:sz w:val="26"/>
                <w:szCs w:val="26"/>
                <w:rtl/>
              </w:rPr>
            </w:pPr>
          </w:p>
          <w:p w:rsidR="00CD5D7D" w:rsidRDefault="00CD5D7D" w:rsidP="0023346B">
            <w:pPr>
              <w:suppressLineNumbers/>
              <w:rPr>
                <w:rFonts w:ascii="Arial" w:hAnsi="Arial"/>
                <w:b/>
                <w:bCs/>
                <w:sz w:val="26"/>
                <w:szCs w:val="26"/>
                <w:rtl/>
              </w:rPr>
            </w:pPr>
          </w:p>
          <w:p w:rsidR="00CD5D7D" w:rsidRDefault="00CD5D7D" w:rsidP="0023346B">
            <w:pPr>
              <w:suppressLineNumbers/>
              <w:rPr>
                <w:rFonts w:ascii="Arial" w:hAnsi="Arial"/>
                <w:b/>
                <w:bCs/>
                <w:sz w:val="26"/>
                <w:szCs w:val="26"/>
                <w:rtl/>
              </w:rPr>
            </w:pPr>
          </w:p>
          <w:p w:rsidR="00CD5D7D" w:rsidRPr="008A59EE" w:rsidRDefault="00CD5D7D" w:rsidP="00CD5D7D">
            <w:pPr>
              <w:suppressLineNumbers/>
              <w:rPr>
                <w:rFonts w:ascii="Arial" w:hAnsi="Arial"/>
                <w:b/>
                <w:bCs/>
                <w:sz w:val="26"/>
                <w:szCs w:val="26"/>
                <w:rtl/>
              </w:rPr>
            </w:pPr>
            <w:r>
              <w:rPr>
                <w:rFonts w:ascii="Arial" w:hAnsi="Arial" w:hint="cs"/>
                <w:b/>
                <w:bCs/>
                <w:sz w:val="26"/>
                <w:szCs w:val="26"/>
                <w:rtl/>
              </w:rPr>
              <w:t xml:space="preserve">  בפני     </w:t>
            </w:r>
            <w:r w:rsidRPr="008A59EE">
              <w:rPr>
                <w:rFonts w:ascii="Arial" w:hAnsi="Arial" w:hint="cs"/>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פאני גילת כהן</w:t>
                </w:r>
              </w:sdtContent>
            </w:sdt>
          </w:p>
          <w:p w:rsidR="00CD5D7D" w:rsidRPr="008A59EE" w:rsidRDefault="00CD5D7D" w:rsidP="0023346B">
            <w:pPr>
              <w:suppressLineNumbers/>
              <w:rPr>
                <w:sz w:val="26"/>
                <w:szCs w:val="26"/>
              </w:rPr>
            </w:pPr>
          </w:p>
        </w:tc>
      </w:tr>
      <w:tr w:rsidR="00CD5D7D" w:rsidTr="0023346B">
        <w:trPr>
          <w:jc w:val="center"/>
        </w:trPr>
        <w:tc>
          <w:tcPr>
            <w:tcW w:w="3249" w:type="dxa"/>
            <w:gridSpan w:val="2"/>
          </w:tcPr>
          <w:p w:rsidR="00CD5D7D" w:rsidRDefault="00CD5D7D" w:rsidP="0023346B">
            <w:pPr>
              <w:suppressLineNumbers/>
              <w:rPr>
                <w:rtl/>
              </w:rPr>
            </w:pPr>
          </w:p>
          <w:sdt>
            <w:sdtPr>
              <w:rPr>
                <w:rtl/>
              </w:rPr>
              <w:alias w:val="1180"/>
              <w:tag w:val="1180"/>
              <w:id w:val="789629371"/>
              <w:text w:multiLine="1"/>
            </w:sdtPr>
            <w:sdtEndPr/>
            <w:sdtContent>
              <w:p w:rsidR="00CD5D7D" w:rsidRDefault="00CD5D7D" w:rsidP="0023346B">
                <w:pPr>
                  <w:suppressLineNumbers/>
                  <w:rPr>
                    <w:rFonts w:ascii="Arial" w:hAnsi="Arial"/>
                    <w:b/>
                    <w:bCs/>
                    <w:noProof w:val="0"/>
                    <w:sz w:val="26"/>
                    <w:szCs w:val="26"/>
                  </w:rPr>
                </w:pPr>
                <w:r>
                  <w:rPr>
                    <w:rFonts w:ascii="Arial" w:hAnsi="Arial" w:hint="cs"/>
                    <w:b/>
                    <w:bCs/>
                    <w:noProof w:val="0"/>
                    <w:sz w:val="26"/>
                    <w:szCs w:val="26"/>
                    <w:rtl/>
                  </w:rPr>
                  <w:t xml:space="preserve">             </w:t>
                </w:r>
                <w:r>
                  <w:rPr>
                    <w:rFonts w:ascii="Arial" w:hAnsi="Arial"/>
                    <w:b/>
                    <w:bCs/>
                    <w:noProof w:val="0"/>
                    <w:sz w:val="26"/>
                    <w:szCs w:val="26"/>
                    <w:rtl/>
                  </w:rPr>
                  <w:t>המבקש</w:t>
                </w:r>
              </w:p>
            </w:sdtContent>
          </w:sdt>
        </w:tc>
        <w:tc>
          <w:tcPr>
            <w:tcW w:w="5571" w:type="dxa"/>
          </w:tcPr>
          <w:p w:rsidR="00CD5D7D" w:rsidRDefault="00CD5D7D" w:rsidP="0023346B">
            <w:pPr>
              <w:suppressLineNumbers/>
              <w:rPr>
                <w:rtl/>
              </w:rPr>
            </w:pPr>
          </w:p>
          <w:p w:rsidR="00CD5D7D" w:rsidRDefault="007317F4" w:rsidP="0023346B">
            <w:pPr>
              <w:suppressLineNumbers/>
              <w:rPr>
                <w:b/>
                <w:bCs/>
                <w:noProof w:val="0"/>
                <w:sz w:val="26"/>
                <w:szCs w:val="26"/>
                <w:rtl/>
              </w:rPr>
            </w:pPr>
            <w:sdt>
              <w:sdtPr>
                <w:rPr>
                  <w:rFonts w:ascii="Arial" w:hAnsi="Arial"/>
                  <w:b/>
                  <w:bCs/>
                  <w:noProof w:val="0"/>
                  <w:sz w:val="26"/>
                  <w:szCs w:val="26"/>
                  <w:rtl/>
                </w:rPr>
                <w:alias w:val="3151"/>
                <w:tag w:val="3151"/>
                <w:id w:val="1927142439"/>
                <w:placeholder>
                  <w:docPart w:val="32600FC680824827BA47A34FC87FF179"/>
                </w:placeholder>
                <w:text w:multiLine="1"/>
              </w:sdtPr>
              <w:sdtEndPr/>
              <w:sdtContent>
                <w:r w:rsidR="00CD5D7D">
                  <w:rPr>
                    <w:rFonts w:ascii="Arial" w:hAnsi="Arial" w:hint="cs"/>
                    <w:b/>
                    <w:bCs/>
                    <w:noProof w:val="0"/>
                    <w:sz w:val="26"/>
                    <w:szCs w:val="26"/>
                    <w:rtl/>
                  </w:rPr>
                  <w:t>פלוני</w:t>
                </w:r>
                <w:r w:rsidR="00CD5D7D">
                  <w:rPr>
                    <w:rFonts w:ascii="Arial" w:hAnsi="Arial"/>
                    <w:b/>
                    <w:bCs/>
                    <w:noProof w:val="0"/>
                    <w:sz w:val="26"/>
                    <w:szCs w:val="26"/>
                    <w:rtl/>
                  </w:rPr>
                  <w:br/>
                  <w:t>באמצעות ב"כ עו"ד אהוד גרין</w:t>
                </w:r>
              </w:sdtContent>
            </w:sdt>
          </w:p>
        </w:tc>
      </w:tr>
      <w:tr w:rsidR="00CD5D7D" w:rsidTr="0023346B">
        <w:trPr>
          <w:jc w:val="center"/>
        </w:trPr>
        <w:tc>
          <w:tcPr>
            <w:tcW w:w="8820" w:type="dxa"/>
            <w:gridSpan w:val="3"/>
          </w:tcPr>
          <w:p w:rsidR="00CD5D7D" w:rsidRDefault="00CD5D7D" w:rsidP="0023346B">
            <w:pPr>
              <w:suppressLineNumbers/>
              <w:rPr>
                <w:rFonts w:ascii="Arial" w:hAnsi="Arial"/>
                <w:b/>
                <w:bCs/>
                <w:noProof w:val="0"/>
                <w:sz w:val="26"/>
                <w:szCs w:val="26"/>
                <w:rtl/>
              </w:rPr>
            </w:pPr>
          </w:p>
          <w:p w:rsidR="00CD5D7D" w:rsidRDefault="00CD5D7D" w:rsidP="0023346B">
            <w:pPr>
              <w:suppressLineNumbers/>
              <w:jc w:val="center"/>
              <w:rPr>
                <w:rFonts w:ascii="Arial" w:hAnsi="Arial"/>
                <w:b/>
                <w:bCs/>
                <w:noProof w:val="0"/>
                <w:sz w:val="26"/>
                <w:szCs w:val="26"/>
              </w:rPr>
            </w:pPr>
            <w:r>
              <w:rPr>
                <w:rFonts w:ascii="Arial" w:hAnsi="Arial"/>
                <w:b/>
                <w:bCs/>
                <w:noProof w:val="0"/>
                <w:sz w:val="26"/>
                <w:szCs w:val="26"/>
                <w:rtl/>
              </w:rPr>
              <w:t>נגד</w:t>
            </w:r>
          </w:p>
          <w:p w:rsidR="00CD5D7D" w:rsidRDefault="00CD5D7D" w:rsidP="0023346B">
            <w:pPr>
              <w:suppressLineNumbers/>
              <w:rPr>
                <w:rFonts w:ascii="Arial" w:hAnsi="Arial"/>
                <w:b/>
                <w:bCs/>
                <w:noProof w:val="0"/>
                <w:sz w:val="26"/>
                <w:szCs w:val="26"/>
                <w:rtl/>
              </w:rPr>
            </w:pPr>
          </w:p>
        </w:tc>
      </w:tr>
      <w:tr w:rsidR="00CD5D7D" w:rsidTr="0023346B">
        <w:trPr>
          <w:jc w:val="center"/>
        </w:trPr>
        <w:tc>
          <w:tcPr>
            <w:tcW w:w="3249" w:type="dxa"/>
            <w:gridSpan w:val="2"/>
            <w:hideMark/>
          </w:tcPr>
          <w:p w:rsidR="00CD5D7D" w:rsidRDefault="007317F4" w:rsidP="0023346B">
            <w:pPr>
              <w:suppressLineNumbers/>
              <w:rPr>
                <w:rFonts w:ascii="Arial" w:hAnsi="Arial"/>
                <w:b/>
                <w:bCs/>
                <w:noProof w:val="0"/>
                <w:sz w:val="26"/>
                <w:szCs w:val="26"/>
                <w:rtl/>
              </w:rPr>
            </w:pPr>
            <w:sdt>
              <w:sdtPr>
                <w:rPr>
                  <w:rtl/>
                </w:rPr>
                <w:alias w:val="1184"/>
                <w:tag w:val="1184"/>
                <w:id w:val="605540355"/>
                <w:text w:multiLine="1"/>
              </w:sdtPr>
              <w:sdtEndPr/>
              <w:sdtContent>
                <w:r w:rsidR="00CD5D7D">
                  <w:rPr>
                    <w:rFonts w:ascii="Arial" w:hAnsi="Arial" w:hint="cs"/>
                    <w:b/>
                    <w:bCs/>
                    <w:noProof w:val="0"/>
                    <w:sz w:val="26"/>
                    <w:szCs w:val="26"/>
                    <w:rtl/>
                  </w:rPr>
                  <w:t xml:space="preserve">            </w:t>
                </w:r>
                <w:r w:rsidR="00CD5D7D">
                  <w:rPr>
                    <w:rFonts w:ascii="Arial" w:hAnsi="Arial"/>
                    <w:b/>
                    <w:bCs/>
                    <w:noProof w:val="0"/>
                    <w:sz w:val="26"/>
                    <w:szCs w:val="26"/>
                    <w:rtl/>
                  </w:rPr>
                  <w:t>המשיבה</w:t>
                </w:r>
              </w:sdtContent>
            </w:sdt>
          </w:p>
        </w:tc>
        <w:tc>
          <w:tcPr>
            <w:tcW w:w="5571" w:type="dxa"/>
            <w:hideMark/>
          </w:tcPr>
          <w:p w:rsidR="00CD5D7D" w:rsidRDefault="007317F4" w:rsidP="0023346B">
            <w:pPr>
              <w:suppressLineNumbers/>
              <w:rPr>
                <w:rFonts w:ascii="Arial" w:hAnsi="Arial"/>
                <w:b/>
                <w:bCs/>
                <w:noProof w:val="0"/>
                <w:sz w:val="26"/>
                <w:szCs w:val="26"/>
              </w:rPr>
            </w:pPr>
            <w:sdt>
              <w:sdtPr>
                <w:rPr>
                  <w:rFonts w:ascii="Arial" w:hAnsi="Arial"/>
                  <w:b/>
                  <w:bCs/>
                  <w:noProof w:val="0"/>
                  <w:sz w:val="26"/>
                  <w:szCs w:val="26"/>
                  <w:rtl/>
                </w:rPr>
                <w:alias w:val="3152"/>
                <w:tag w:val="3152"/>
                <w:id w:val="1822237324"/>
                <w:placeholder>
                  <w:docPart w:val="9765CAF4978448CFA9BD99086EB2BE90"/>
                </w:placeholder>
                <w:text w:multiLine="1"/>
              </w:sdtPr>
              <w:sdtEndPr/>
              <w:sdtContent>
                <w:r w:rsidR="00CD5D7D">
                  <w:rPr>
                    <w:rFonts w:ascii="Arial" w:hAnsi="Arial" w:hint="cs"/>
                    <w:b/>
                    <w:bCs/>
                    <w:noProof w:val="0"/>
                    <w:sz w:val="26"/>
                    <w:szCs w:val="26"/>
                    <w:rtl/>
                  </w:rPr>
                  <w:t xml:space="preserve">אלמונית </w:t>
                </w:r>
                <w:r w:rsidR="00CD5D7D">
                  <w:rPr>
                    <w:rFonts w:ascii="Arial" w:hAnsi="Arial"/>
                    <w:b/>
                    <w:bCs/>
                    <w:noProof w:val="0"/>
                    <w:sz w:val="26"/>
                    <w:szCs w:val="26"/>
                    <w:rtl/>
                  </w:rPr>
                  <w:br/>
                  <w:t>באמצעות ב"כ עו"ד איתן שלו סולקין</w:t>
                </w:r>
              </w:sdtContent>
            </w:sdt>
          </w:p>
        </w:tc>
      </w:tr>
      <w:tr w:rsidR="00CD5D7D" w:rsidTr="0023346B">
        <w:trPr>
          <w:jc w:val="center"/>
        </w:trPr>
        <w:tc>
          <w:tcPr>
            <w:tcW w:w="8820" w:type="dxa"/>
            <w:gridSpan w:val="3"/>
          </w:tcPr>
          <w:p w:rsidR="00CD5D7D" w:rsidRDefault="00CD5D7D" w:rsidP="0023346B">
            <w:pPr>
              <w:suppressLineNumbers/>
            </w:pPr>
          </w:p>
        </w:tc>
      </w:tr>
      <w:tr w:rsidR="00CD5D7D" w:rsidTr="0023346B">
        <w:trPr>
          <w:jc w:val="center"/>
        </w:trPr>
        <w:tc>
          <w:tcPr>
            <w:tcW w:w="3249" w:type="dxa"/>
            <w:gridSpan w:val="2"/>
          </w:tcPr>
          <w:p w:rsidR="00CD5D7D" w:rsidRDefault="00CD5D7D" w:rsidP="0023346B">
            <w:pPr>
              <w:rPr>
                <w:rFonts w:ascii="David" w:eastAsia="David" w:hAnsi="David"/>
                <w:b/>
                <w:bCs/>
                <w:noProof w:val="0"/>
                <w:rtl/>
              </w:rPr>
            </w:pPr>
          </w:p>
        </w:tc>
        <w:tc>
          <w:tcPr>
            <w:tcW w:w="5571" w:type="dxa"/>
          </w:tcPr>
          <w:p w:rsidR="00CD5D7D" w:rsidRDefault="00CD5D7D" w:rsidP="0023346B">
            <w:pPr>
              <w:rPr>
                <w:b/>
                <w:bCs/>
                <w:sz w:val="26"/>
                <w:szCs w:val="26"/>
                <w:rtl/>
              </w:rPr>
            </w:pPr>
          </w:p>
        </w:tc>
      </w:tr>
      <w:tr w:rsidR="00CD5D7D" w:rsidTr="0023346B">
        <w:trPr>
          <w:jc w:val="center"/>
        </w:trPr>
        <w:tc>
          <w:tcPr>
            <w:tcW w:w="8820" w:type="dxa"/>
            <w:gridSpan w:val="3"/>
            <w:hideMark/>
          </w:tcPr>
          <w:p w:rsidR="00CD5D7D" w:rsidRDefault="00CD5D7D" w:rsidP="0023346B">
            <w:pPr>
              <w:suppressLineNumbers/>
              <w:tabs>
                <w:tab w:val="left" w:pos="2469"/>
              </w:tabs>
              <w:rPr>
                <w:rFonts w:ascii="Arial" w:hAnsi="Arial"/>
                <w:b/>
                <w:bCs/>
                <w:noProof w:val="0"/>
                <w:sz w:val="26"/>
                <w:szCs w:val="26"/>
              </w:rPr>
            </w:pPr>
            <w:r>
              <w:rPr>
                <w:rFonts w:ascii="Arial" w:hAnsi="Arial"/>
                <w:b/>
                <w:bCs/>
                <w:noProof w:val="0"/>
                <w:sz w:val="26"/>
                <w:szCs w:val="26"/>
                <w:rtl/>
              </w:rPr>
              <w:tab/>
            </w:r>
          </w:p>
        </w:tc>
      </w:tr>
    </w:tbl>
    <w:p w:rsidR="00CD5D7D" w:rsidRDefault="00CD5D7D" w:rsidP="00CD5D7D">
      <w:pPr>
        <w:suppressLineNumbers/>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CD5D7D" w:rsidTr="0023346B">
        <w:trPr>
          <w:jc w:val="center"/>
        </w:trPr>
        <w:tc>
          <w:tcPr>
            <w:tcW w:w="8820" w:type="dxa"/>
          </w:tcPr>
          <w:p w:rsidR="00CD5D7D" w:rsidRDefault="00CD5D7D" w:rsidP="0023346B">
            <w:pPr>
              <w:bidi w:val="0"/>
              <w:jc w:val="center"/>
              <w:rPr>
                <w:rFonts w:ascii="Arial" w:hAnsi="Arial"/>
                <w:b/>
                <w:bCs/>
                <w:noProof w:val="0"/>
                <w:sz w:val="32"/>
                <w:szCs w:val="32"/>
                <w:u w:val="single"/>
                <w:rtl/>
              </w:rPr>
            </w:pPr>
            <w:r>
              <w:rPr>
                <w:rFonts w:ascii="Arial" w:hAnsi="Arial"/>
                <w:b/>
                <w:bCs/>
                <w:noProof w:val="0"/>
                <w:sz w:val="32"/>
                <w:szCs w:val="32"/>
                <w:u w:val="single"/>
                <w:rtl/>
              </w:rPr>
              <w:t>החלטה</w:t>
            </w:r>
          </w:p>
          <w:p w:rsidR="00CD5D7D" w:rsidRDefault="00CD5D7D" w:rsidP="0023346B">
            <w:pPr>
              <w:bidi w:val="0"/>
              <w:jc w:val="center"/>
              <w:rPr>
                <w:rFonts w:ascii="Arial" w:hAnsi="Arial"/>
                <w:b/>
                <w:bCs/>
                <w:noProof w:val="0"/>
                <w:sz w:val="28"/>
                <w:szCs w:val="28"/>
                <w:u w:val="single"/>
                <w:rtl/>
              </w:rPr>
            </w:pPr>
          </w:p>
        </w:tc>
      </w:tr>
    </w:tbl>
    <w:p w:rsidR="00CD5D7D" w:rsidRDefault="00CD5D7D" w:rsidP="00CD5D7D">
      <w:pPr>
        <w:spacing w:line="360" w:lineRule="auto"/>
        <w:jc w:val="both"/>
        <w:rPr>
          <w:rFonts w:ascii="Arial" w:hAnsi="Arial"/>
          <w:noProof w:val="0"/>
          <w:rtl/>
        </w:rPr>
      </w:pPr>
      <w:r>
        <w:rPr>
          <w:rFonts w:ascii="Arial" w:hAnsi="Arial"/>
          <w:noProof w:val="0"/>
          <w:rtl/>
        </w:rPr>
        <w:t xml:space="preserve">עניינה של החלטה זו הוא בקשת רשות ערעור על שתי החלטות שניתנו ע"י בית המשפט לענייני משפחה בבאר שבע (כב' השופט שי שמואל) </w:t>
      </w:r>
      <w:r>
        <w:rPr>
          <w:rFonts w:ascii="Arial" w:hAnsi="Arial" w:hint="cs"/>
          <w:noProof w:val="0"/>
          <w:rtl/>
        </w:rPr>
        <w:t>בה</w:t>
      </w:r>
      <w:r>
        <w:rPr>
          <w:rFonts w:ascii="Arial" w:hAnsi="Arial"/>
          <w:noProof w:val="0"/>
          <w:rtl/>
        </w:rPr>
        <w:t xml:space="preserve">ליך רכושי המתנהל בין הצדדים: האחת, מיום 10.05.2023 בגדרה נדחתה בקשת המבקש לפירוק שיתוף מידי בבית </w:t>
      </w:r>
      <w:r>
        <w:rPr>
          <w:rFonts w:ascii="Arial" w:hAnsi="Arial" w:hint="cs"/>
          <w:noProof w:val="0"/>
          <w:rtl/>
        </w:rPr>
        <w:t>המגורים</w:t>
      </w:r>
      <w:r>
        <w:rPr>
          <w:rFonts w:ascii="Arial" w:hAnsi="Arial"/>
          <w:noProof w:val="0"/>
          <w:rtl/>
        </w:rPr>
        <w:t xml:space="preserve">; והשנייה, מיום 15.05.2023 בגדרה נדחתה בקשת המבקש לחיוב המשיבה לשאת במחצית חובו למס הכנסה, תוך הבהרה, כי הדבר יילקח במסגרת איזון המשאבים שיערך בין הצדדים. </w:t>
      </w:r>
    </w:p>
    <w:p w:rsidR="00CD5D7D" w:rsidRDefault="00CD5D7D" w:rsidP="00CD5D7D">
      <w:pPr>
        <w:spacing w:line="360" w:lineRule="auto"/>
        <w:jc w:val="both"/>
        <w:rPr>
          <w:rFonts w:ascii="Arial" w:hAnsi="Arial"/>
          <w:noProof w:val="0"/>
          <w:rtl/>
        </w:rPr>
      </w:pPr>
    </w:p>
    <w:p w:rsidR="00CD5D7D" w:rsidRDefault="00CD5D7D" w:rsidP="00CD5D7D">
      <w:pPr>
        <w:spacing w:line="360" w:lineRule="auto"/>
        <w:jc w:val="both"/>
        <w:rPr>
          <w:rFonts w:ascii="Arial" w:hAnsi="Arial"/>
          <w:b/>
          <w:bCs/>
          <w:noProof w:val="0"/>
          <w:sz w:val="26"/>
          <w:szCs w:val="26"/>
          <w:u w:val="single"/>
        </w:rPr>
      </w:pPr>
      <w:r>
        <w:rPr>
          <w:rFonts w:ascii="Arial" w:hAnsi="Arial"/>
          <w:b/>
          <w:bCs/>
          <w:noProof w:val="0"/>
          <w:sz w:val="26"/>
          <w:szCs w:val="26"/>
          <w:u w:val="single"/>
          <w:rtl/>
        </w:rPr>
        <w:t xml:space="preserve">רקע עובדתי בקליפת אגוז  </w:t>
      </w:r>
    </w:p>
    <w:p w:rsidR="00CD5D7D" w:rsidRDefault="00CD5D7D" w:rsidP="00CD5D7D">
      <w:pPr>
        <w:pStyle w:val="a4"/>
        <w:numPr>
          <w:ilvl w:val="0"/>
          <w:numId w:val="1"/>
        </w:numPr>
        <w:spacing w:line="360" w:lineRule="auto"/>
        <w:jc w:val="both"/>
        <w:rPr>
          <w:rFonts w:ascii="Arial" w:hAnsi="Arial"/>
          <w:b/>
          <w:bCs/>
          <w:noProof w:val="0"/>
          <w:u w:val="single"/>
        </w:rPr>
      </w:pPr>
      <w:r>
        <w:rPr>
          <w:rFonts w:ascii="Arial" w:hAnsi="Arial"/>
          <w:noProof w:val="0"/>
          <w:rtl/>
        </w:rPr>
        <w:t xml:space="preserve">הצדדים, בני זוג לשעבר, שהתגרשו זה מזו בחודש פברואר השנה </w:t>
      </w:r>
      <w:r>
        <w:rPr>
          <w:rFonts w:ascii="Arial" w:hAnsi="Arial" w:hint="cs"/>
          <w:noProof w:val="0"/>
          <w:rtl/>
        </w:rPr>
        <w:t>והם</w:t>
      </w:r>
      <w:r>
        <w:rPr>
          <w:rFonts w:ascii="Arial" w:hAnsi="Arial"/>
          <w:noProof w:val="0"/>
          <w:rtl/>
        </w:rPr>
        <w:t xml:space="preserve"> </w:t>
      </w:r>
      <w:r>
        <w:rPr>
          <w:rFonts w:ascii="Arial" w:hAnsi="Arial" w:hint="cs"/>
          <w:noProof w:val="0"/>
          <w:rtl/>
        </w:rPr>
        <w:t xml:space="preserve">הוריהם של </w:t>
      </w:r>
      <w:r>
        <w:rPr>
          <w:rFonts w:ascii="Arial" w:hAnsi="Arial"/>
          <w:noProof w:val="0"/>
          <w:rtl/>
        </w:rPr>
        <w:t xml:space="preserve">שתי בנות בגירות. </w:t>
      </w:r>
    </w:p>
    <w:p w:rsidR="00CD5D7D" w:rsidRDefault="00CD5D7D" w:rsidP="00CD5D7D">
      <w:pPr>
        <w:pStyle w:val="a4"/>
        <w:jc w:val="both"/>
        <w:rPr>
          <w:rFonts w:ascii="Arial" w:hAnsi="Arial"/>
          <w:b/>
          <w:bCs/>
          <w:noProof w:val="0"/>
          <w:u w:val="single"/>
          <w:rtl/>
        </w:rPr>
      </w:pPr>
    </w:p>
    <w:p w:rsidR="00CD5D7D" w:rsidRDefault="00CD5D7D" w:rsidP="00CD5D7D">
      <w:pPr>
        <w:pStyle w:val="a4"/>
        <w:numPr>
          <w:ilvl w:val="0"/>
          <w:numId w:val="1"/>
        </w:numPr>
        <w:spacing w:line="360" w:lineRule="auto"/>
        <w:jc w:val="both"/>
        <w:rPr>
          <w:rFonts w:ascii="Arial" w:hAnsi="Arial"/>
          <w:b/>
          <w:bCs/>
          <w:noProof w:val="0"/>
          <w:u w:val="single"/>
          <w:rtl/>
        </w:rPr>
      </w:pPr>
      <w:r>
        <w:rPr>
          <w:rFonts w:ascii="Arial" w:hAnsi="Arial"/>
          <w:noProof w:val="0"/>
          <w:rtl/>
        </w:rPr>
        <w:t xml:space="preserve">עובר למועד סידור הגט, עזב המבקש את בית המגורים המשותף, השוכן בישוב </w:t>
      </w:r>
      <w:r>
        <w:rPr>
          <w:rFonts w:ascii="Arial" w:hAnsi="Arial" w:hint="cs"/>
          <w:noProof w:val="0"/>
          <w:rtl/>
        </w:rPr>
        <w:t>...</w:t>
      </w:r>
      <w:r>
        <w:rPr>
          <w:rFonts w:ascii="Arial" w:hAnsi="Arial"/>
          <w:noProof w:val="0"/>
          <w:rtl/>
        </w:rPr>
        <w:t>, והמשיבה נותרה להתגורר בו.</w:t>
      </w:r>
    </w:p>
    <w:p w:rsidR="00CD5D7D" w:rsidRDefault="00CD5D7D" w:rsidP="00CD5D7D">
      <w:pPr>
        <w:pStyle w:val="a4"/>
        <w:rPr>
          <w:rFonts w:ascii="Arial" w:hAnsi="Arial"/>
          <w:b/>
          <w:bCs/>
          <w:noProof w:val="0"/>
          <w:u w:val="single"/>
          <w:rtl/>
        </w:rPr>
      </w:pPr>
    </w:p>
    <w:p w:rsidR="00CD5D7D" w:rsidRDefault="00CD5D7D" w:rsidP="00CD5D7D">
      <w:pPr>
        <w:pStyle w:val="a4"/>
        <w:numPr>
          <w:ilvl w:val="0"/>
          <w:numId w:val="1"/>
        </w:numPr>
        <w:spacing w:line="360" w:lineRule="auto"/>
        <w:jc w:val="both"/>
        <w:rPr>
          <w:rFonts w:ascii="Arial" w:hAnsi="Arial"/>
          <w:noProof w:val="0"/>
        </w:rPr>
      </w:pPr>
      <w:r>
        <w:rPr>
          <w:rFonts w:ascii="Arial" w:hAnsi="Arial"/>
          <w:noProof w:val="0"/>
          <w:rtl/>
        </w:rPr>
        <w:t xml:space="preserve">מעיון בתיק המתנהל בבית המשפט קמא עולה, כי המבקש הוא </w:t>
      </w:r>
      <w:r>
        <w:rPr>
          <w:rFonts w:ascii="Arial" w:hAnsi="Arial" w:hint="cs"/>
          <w:noProof w:val="0"/>
          <w:rtl/>
        </w:rPr>
        <w:t>...</w:t>
      </w:r>
      <w:r>
        <w:rPr>
          <w:rFonts w:ascii="Arial" w:hAnsi="Arial"/>
          <w:noProof w:val="0"/>
          <w:rtl/>
        </w:rPr>
        <w:t xml:space="preserve"> במקצועו, והוא שותף בחברות מספר שעיסוקן יבוא, שיווק וייצור מוצרים בתחום </w:t>
      </w:r>
      <w:r>
        <w:rPr>
          <w:rFonts w:ascii="Arial" w:hAnsi="Arial" w:hint="cs"/>
          <w:noProof w:val="0"/>
          <w:rtl/>
        </w:rPr>
        <w:t>....</w:t>
      </w:r>
      <w:r>
        <w:rPr>
          <w:rFonts w:ascii="Arial" w:hAnsi="Arial"/>
          <w:noProof w:val="0"/>
          <w:rtl/>
        </w:rPr>
        <w:t xml:space="preserve">, ואילו המשיבה מועסקת כעובדת </w:t>
      </w:r>
      <w:r>
        <w:rPr>
          <w:rFonts w:ascii="Arial" w:hAnsi="Arial" w:hint="cs"/>
          <w:noProof w:val="0"/>
          <w:rtl/>
        </w:rPr>
        <w:t>שכירה ב...</w:t>
      </w:r>
      <w:r>
        <w:rPr>
          <w:rFonts w:ascii="Arial" w:hAnsi="Arial"/>
          <w:noProof w:val="0"/>
          <w:rtl/>
        </w:rPr>
        <w:t xml:space="preserve">. </w:t>
      </w:r>
    </w:p>
    <w:p w:rsidR="00CD5D7D" w:rsidRDefault="00CD5D7D" w:rsidP="00CD5D7D">
      <w:pPr>
        <w:pStyle w:val="a4"/>
        <w:rPr>
          <w:rFonts w:ascii="Arial" w:hAnsi="Arial"/>
          <w:noProof w:val="0"/>
        </w:rPr>
      </w:pPr>
    </w:p>
    <w:p w:rsidR="00CD5D7D" w:rsidRDefault="00CD5D7D" w:rsidP="00CD5D7D">
      <w:pPr>
        <w:pStyle w:val="a4"/>
        <w:numPr>
          <w:ilvl w:val="0"/>
          <w:numId w:val="1"/>
        </w:numPr>
        <w:spacing w:line="360" w:lineRule="auto"/>
        <w:jc w:val="both"/>
        <w:rPr>
          <w:rFonts w:ascii="Arial" w:hAnsi="Arial"/>
          <w:noProof w:val="0"/>
        </w:rPr>
      </w:pPr>
      <w:r>
        <w:rPr>
          <w:rFonts w:ascii="Arial" w:hAnsi="Arial" w:hint="cs"/>
          <w:noProof w:val="0"/>
          <w:rtl/>
        </w:rPr>
        <w:lastRenderedPageBreak/>
        <w:t xml:space="preserve">נוכח </w:t>
      </w:r>
      <w:r>
        <w:rPr>
          <w:rFonts w:ascii="Arial" w:hAnsi="Arial"/>
          <w:noProof w:val="0"/>
          <w:rtl/>
        </w:rPr>
        <w:t>הקרע ביחסי הצדדים</w:t>
      </w:r>
      <w:r>
        <w:rPr>
          <w:rFonts w:ascii="Arial" w:hAnsi="Arial" w:hint="cs"/>
          <w:noProof w:val="0"/>
          <w:rtl/>
        </w:rPr>
        <w:t>,</w:t>
      </w:r>
      <w:r>
        <w:rPr>
          <w:rFonts w:ascii="Arial" w:hAnsi="Arial"/>
          <w:noProof w:val="0"/>
          <w:rtl/>
        </w:rPr>
        <w:t xml:space="preserve"> הגישה המשיבה בחודש יולי אשתקד תובענה </w:t>
      </w:r>
      <w:proofErr w:type="spellStart"/>
      <w:r>
        <w:rPr>
          <w:rFonts w:ascii="Arial" w:hAnsi="Arial"/>
          <w:noProof w:val="0"/>
          <w:rtl/>
        </w:rPr>
        <w:t>רכושית</w:t>
      </w:r>
      <w:proofErr w:type="spellEnd"/>
      <w:r>
        <w:rPr>
          <w:rFonts w:ascii="Arial" w:hAnsi="Arial"/>
          <w:noProof w:val="0"/>
          <w:rtl/>
        </w:rPr>
        <w:t xml:space="preserve"> במסגרתה עתרה, בין השאר, לאיזון משאבים ולפירוק השיתוף בבית המגורים.  </w:t>
      </w:r>
    </w:p>
    <w:p w:rsidR="00CD5D7D" w:rsidRPr="00221679" w:rsidRDefault="00CD5D7D" w:rsidP="00CD5D7D">
      <w:pPr>
        <w:pStyle w:val="a4"/>
        <w:rPr>
          <w:rFonts w:ascii="Arial" w:hAnsi="Arial"/>
          <w:noProof w:val="0"/>
          <w:rtl/>
        </w:rPr>
      </w:pPr>
    </w:p>
    <w:p w:rsidR="00CD5D7D" w:rsidRDefault="00CD5D7D" w:rsidP="00CD5D7D">
      <w:pPr>
        <w:pStyle w:val="a4"/>
        <w:spacing w:line="360" w:lineRule="auto"/>
        <w:jc w:val="both"/>
        <w:rPr>
          <w:rFonts w:ascii="Arial" w:hAnsi="Arial"/>
          <w:noProof w:val="0"/>
        </w:rPr>
      </w:pPr>
    </w:p>
    <w:p w:rsidR="00CD5D7D" w:rsidRDefault="00CD5D7D" w:rsidP="00CD5D7D">
      <w:pPr>
        <w:pStyle w:val="a4"/>
        <w:numPr>
          <w:ilvl w:val="0"/>
          <w:numId w:val="1"/>
        </w:numPr>
        <w:spacing w:line="360" w:lineRule="auto"/>
        <w:jc w:val="both"/>
        <w:rPr>
          <w:rFonts w:ascii="Arial" w:hAnsi="Arial"/>
          <w:noProof w:val="0"/>
          <w:rtl/>
        </w:rPr>
      </w:pPr>
      <w:r>
        <w:rPr>
          <w:rFonts w:ascii="Arial" w:hAnsi="Arial"/>
          <w:noProof w:val="0"/>
          <w:rtl/>
        </w:rPr>
        <w:t xml:space="preserve">המבקש הגיש ביום 01.05.2023 שתי בקשות </w:t>
      </w:r>
      <w:r>
        <w:rPr>
          <w:rFonts w:ascii="Arial" w:hAnsi="Arial" w:hint="cs"/>
          <w:noProof w:val="0"/>
          <w:rtl/>
        </w:rPr>
        <w:t>ב</w:t>
      </w:r>
      <w:r>
        <w:rPr>
          <w:rFonts w:ascii="Arial" w:hAnsi="Arial"/>
          <w:noProof w:val="0"/>
          <w:rtl/>
        </w:rPr>
        <w:t xml:space="preserve">הליך </w:t>
      </w:r>
      <w:proofErr w:type="spellStart"/>
      <w:r>
        <w:rPr>
          <w:rFonts w:ascii="Arial" w:hAnsi="Arial"/>
          <w:noProof w:val="0"/>
          <w:rtl/>
        </w:rPr>
        <w:t>הרכושי</w:t>
      </w:r>
      <w:proofErr w:type="spellEnd"/>
      <w:r>
        <w:rPr>
          <w:rFonts w:ascii="Arial" w:hAnsi="Arial"/>
          <w:noProof w:val="0"/>
          <w:rtl/>
        </w:rPr>
        <w:t xml:space="preserve">: האחת, הוכתרה כבקשה דחופה ביותר לפירוק השיתוף בבית המגורים במסגרתה נטען, כי הוא נושא במלוא הוצאות ההחזקה שלו בהתאם להחלטת בית המשפט בעוד המשיבה מתגוררת בו בגפה ועושה בו שימוש בלעדי; והשנייה, הוכתרה כבקשה דחופה ביותר לתשלום חובות מס הכנסה במסגרתה עתר, כי בית המשפט יורה למשיבה לשאת במחצית החוב למס הכנסה, העומד על כמיליון ₪, אשר לדידו, אין חולק כי הוא משותף לצדדים. </w:t>
      </w:r>
    </w:p>
    <w:p w:rsidR="00CD5D7D" w:rsidRDefault="00CD5D7D" w:rsidP="00CD5D7D">
      <w:pPr>
        <w:pStyle w:val="a4"/>
        <w:spacing w:line="360" w:lineRule="auto"/>
        <w:jc w:val="both"/>
        <w:rPr>
          <w:rFonts w:ascii="Arial" w:hAnsi="Arial"/>
          <w:noProof w:val="0"/>
          <w:rtl/>
        </w:rPr>
      </w:pPr>
    </w:p>
    <w:p w:rsidR="00CD5D7D" w:rsidRDefault="00CD5D7D" w:rsidP="00CD5D7D">
      <w:pPr>
        <w:pStyle w:val="a4"/>
        <w:numPr>
          <w:ilvl w:val="0"/>
          <w:numId w:val="1"/>
        </w:numPr>
        <w:spacing w:line="360" w:lineRule="auto"/>
        <w:jc w:val="both"/>
        <w:rPr>
          <w:rFonts w:ascii="Arial" w:hAnsi="Arial"/>
          <w:noProof w:val="0"/>
        </w:rPr>
      </w:pPr>
      <w:r>
        <w:rPr>
          <w:rFonts w:ascii="Arial" w:hAnsi="Arial"/>
          <w:noProof w:val="0"/>
          <w:rtl/>
        </w:rPr>
        <w:t>לאחר שנתקבל</w:t>
      </w:r>
      <w:r>
        <w:rPr>
          <w:rFonts w:ascii="Arial" w:hAnsi="Arial" w:hint="cs"/>
          <w:noProof w:val="0"/>
          <w:rtl/>
        </w:rPr>
        <w:t>ו</w:t>
      </w:r>
      <w:r>
        <w:rPr>
          <w:rFonts w:ascii="Arial" w:hAnsi="Arial"/>
          <w:noProof w:val="0"/>
          <w:rtl/>
        </w:rPr>
        <w:t xml:space="preserve"> תגובות המשיבה, ניתנה ביום 10.05.2023 החלטה בבקשה לפירוק השיתוף המידי בבית המגורים, הדוחה אותה, ונקבע</w:t>
      </w:r>
      <w:r>
        <w:rPr>
          <w:rFonts w:ascii="Arial" w:hAnsi="Arial" w:hint="cs"/>
          <w:noProof w:val="0"/>
          <w:rtl/>
        </w:rPr>
        <w:t xml:space="preserve"> בה,</w:t>
      </w:r>
      <w:r>
        <w:rPr>
          <w:rFonts w:ascii="Arial" w:hAnsi="Arial"/>
          <w:noProof w:val="0"/>
          <w:rtl/>
        </w:rPr>
        <w:t xml:space="preserve"> בין היתר</w:t>
      </w:r>
      <w:r>
        <w:rPr>
          <w:rFonts w:ascii="Arial" w:hAnsi="Arial" w:hint="cs"/>
          <w:noProof w:val="0"/>
          <w:rtl/>
        </w:rPr>
        <w:t>,</w:t>
      </w:r>
      <w:r>
        <w:rPr>
          <w:rFonts w:ascii="Arial" w:hAnsi="Arial"/>
          <w:noProof w:val="0"/>
          <w:rtl/>
        </w:rPr>
        <w:t xml:space="preserve"> לאמור: </w:t>
      </w:r>
    </w:p>
    <w:p w:rsidR="00CD5D7D" w:rsidRDefault="00CD5D7D" w:rsidP="00CD5D7D">
      <w:pPr>
        <w:pStyle w:val="a4"/>
        <w:spacing w:line="360" w:lineRule="auto"/>
        <w:jc w:val="both"/>
        <w:rPr>
          <w:rFonts w:ascii="Arial" w:hAnsi="Arial"/>
          <w:noProof w:val="0"/>
          <w:rtl/>
        </w:rPr>
      </w:pPr>
      <w:r>
        <w:rPr>
          <w:rFonts w:ascii="Arial" w:hAnsi="Arial"/>
          <w:b/>
          <w:bCs/>
          <w:noProof w:val="0"/>
          <w:rtl/>
        </w:rPr>
        <w:t xml:space="preserve">"מדובר בבקשה שהקדימה את זמנה ולא היה מקום להגישה עת ניתנו החלטות למינוי מומחה בתחום האקטואריה ולצורך בדיקת טענות התובעת בקשר להיקף עסקיו והזכויות של הנתבע. רק לאחר בירור היקף כל הזכויות ישקול ביהמ"ש </w:t>
      </w:r>
      <w:proofErr w:type="spellStart"/>
      <w:r>
        <w:rPr>
          <w:rFonts w:ascii="Arial" w:hAnsi="Arial"/>
          <w:b/>
          <w:bCs/>
          <w:noProof w:val="0"/>
          <w:rtl/>
        </w:rPr>
        <w:t>ליתן</w:t>
      </w:r>
      <w:proofErr w:type="spellEnd"/>
      <w:r>
        <w:rPr>
          <w:rFonts w:ascii="Arial" w:hAnsi="Arial"/>
          <w:b/>
          <w:bCs/>
          <w:noProof w:val="0"/>
          <w:rtl/>
        </w:rPr>
        <w:t xml:space="preserve"> צו כאמור"</w:t>
      </w:r>
      <w:r>
        <w:rPr>
          <w:rFonts w:ascii="Arial" w:hAnsi="Arial"/>
          <w:noProof w:val="0"/>
          <w:rtl/>
        </w:rPr>
        <w:t xml:space="preserve">. </w:t>
      </w:r>
    </w:p>
    <w:p w:rsidR="00CD5D7D" w:rsidRDefault="00CD5D7D" w:rsidP="00CD5D7D">
      <w:pPr>
        <w:pStyle w:val="a4"/>
        <w:rPr>
          <w:rFonts w:ascii="Arial" w:hAnsi="Arial"/>
          <w:noProof w:val="0"/>
        </w:rPr>
      </w:pPr>
    </w:p>
    <w:p w:rsidR="00CD5D7D" w:rsidRDefault="00CD5D7D" w:rsidP="00CD5D7D">
      <w:pPr>
        <w:pStyle w:val="a4"/>
        <w:numPr>
          <w:ilvl w:val="0"/>
          <w:numId w:val="1"/>
        </w:numPr>
        <w:spacing w:line="360" w:lineRule="auto"/>
        <w:jc w:val="both"/>
        <w:rPr>
          <w:rFonts w:ascii="Arial" w:hAnsi="Arial"/>
          <w:noProof w:val="0"/>
        </w:rPr>
      </w:pPr>
      <w:r>
        <w:rPr>
          <w:rFonts w:ascii="Arial" w:hAnsi="Arial"/>
          <w:noProof w:val="0"/>
          <w:rtl/>
        </w:rPr>
        <w:t>בחלוף ימים אחדים, ביום 15.05.2023 ניתנה החלטה בבקשה לחיוב המשיבה בנשיאה במחצית החוב למס הכנסה, אשר אף היא נדחתה, ובה נקבע, בין היתר, לאמור:</w:t>
      </w:r>
    </w:p>
    <w:p w:rsidR="00CD5D7D" w:rsidRDefault="00CD5D7D" w:rsidP="00CD5D7D">
      <w:pPr>
        <w:pStyle w:val="a4"/>
        <w:rPr>
          <w:rFonts w:ascii="Arial" w:hAnsi="Arial"/>
          <w:noProof w:val="0"/>
          <w:rtl/>
        </w:rPr>
      </w:pPr>
    </w:p>
    <w:p w:rsidR="00CD5D7D" w:rsidRDefault="00CD5D7D" w:rsidP="00CD5D7D">
      <w:pPr>
        <w:pStyle w:val="a4"/>
        <w:spacing w:line="360" w:lineRule="auto"/>
        <w:jc w:val="both"/>
        <w:rPr>
          <w:rFonts w:ascii="Arial" w:hAnsi="Arial"/>
          <w:noProof w:val="0"/>
        </w:rPr>
      </w:pPr>
      <w:r>
        <w:rPr>
          <w:rFonts w:ascii="Arial" w:hAnsi="Arial"/>
          <w:b/>
          <w:bCs/>
          <w:noProof w:val="0"/>
          <w:rtl/>
        </w:rPr>
        <w:t xml:space="preserve">"מדובר בדרישת תשלום מס גבוהה אותה הציג המבקש במסגרת בקשה זו תוך דרישה כי ביהמ"ש יורה למשיבה לשאת במחצית התשלום ובד בבד הגיש בקשה נוספת להורות על פירוק שיתוף </w:t>
      </w:r>
      <w:proofErr w:type="spellStart"/>
      <w:r>
        <w:rPr>
          <w:rFonts w:ascii="Arial" w:hAnsi="Arial"/>
          <w:b/>
          <w:bCs/>
          <w:noProof w:val="0"/>
          <w:rtl/>
        </w:rPr>
        <w:t>מיידי</w:t>
      </w:r>
      <w:proofErr w:type="spellEnd"/>
      <w:r>
        <w:rPr>
          <w:rFonts w:ascii="Arial" w:hAnsi="Arial"/>
          <w:b/>
          <w:bCs/>
          <w:noProof w:val="0"/>
          <w:rtl/>
        </w:rPr>
        <w:t xml:space="preserve"> בבית הצדדים. בהחלטות נוספות בהליך זה הורתי </w:t>
      </w:r>
      <w:r>
        <w:rPr>
          <w:rFonts w:ascii="Arial" w:hAnsi="Arial"/>
          <w:noProof w:val="0"/>
          <w:rtl/>
        </w:rPr>
        <w:t xml:space="preserve">(כך במקור – </w:t>
      </w:r>
      <w:proofErr w:type="spellStart"/>
      <w:r>
        <w:rPr>
          <w:rFonts w:ascii="Arial" w:hAnsi="Arial"/>
          <w:noProof w:val="0"/>
          <w:rtl/>
        </w:rPr>
        <w:t>פ.ג.כ</w:t>
      </w:r>
      <w:proofErr w:type="spellEnd"/>
      <w:r>
        <w:rPr>
          <w:rFonts w:ascii="Arial" w:hAnsi="Arial"/>
          <w:noProof w:val="0"/>
          <w:rtl/>
        </w:rPr>
        <w:t xml:space="preserve">) </w:t>
      </w:r>
      <w:r>
        <w:rPr>
          <w:rFonts w:ascii="Arial" w:hAnsi="Arial"/>
          <w:b/>
          <w:bCs/>
          <w:noProof w:val="0"/>
          <w:rtl/>
        </w:rPr>
        <w:t>על מינוי מומחה שיבחן בין היתר את היקף הפעילות העסקית של המבקש וזאת בשים לב לטענות המשיבה שעה שבפני ביהמ"ש טרם נפרסה התמונה העובדתית כולה... מצאתי כי מדובר בבקשה הנגועה בחוסר תום לב והמגיעה ברקע ידיעת המבקש כי למשיבה אין כל יכולת כלכלית מעשית לשאת בתשלומים אלו בשלב זה"</w:t>
      </w:r>
      <w:r>
        <w:rPr>
          <w:rFonts w:ascii="Arial" w:hAnsi="Arial"/>
          <w:noProof w:val="0"/>
          <w:rtl/>
        </w:rPr>
        <w:t xml:space="preserve">. </w:t>
      </w:r>
    </w:p>
    <w:p w:rsidR="00CD5D7D" w:rsidRDefault="00CD5D7D" w:rsidP="00CD5D7D">
      <w:pPr>
        <w:pStyle w:val="a4"/>
        <w:rPr>
          <w:rFonts w:ascii="Arial" w:hAnsi="Arial"/>
          <w:noProof w:val="0"/>
          <w:rtl/>
        </w:rPr>
      </w:pPr>
    </w:p>
    <w:p w:rsidR="00CD5D7D" w:rsidRDefault="00CD5D7D" w:rsidP="00CD5D7D">
      <w:pPr>
        <w:pStyle w:val="a4"/>
        <w:numPr>
          <w:ilvl w:val="0"/>
          <w:numId w:val="1"/>
        </w:numPr>
        <w:spacing w:line="360" w:lineRule="auto"/>
        <w:jc w:val="both"/>
        <w:rPr>
          <w:rFonts w:ascii="Arial" w:hAnsi="Arial"/>
          <w:noProof w:val="0"/>
        </w:rPr>
      </w:pPr>
      <w:r>
        <w:rPr>
          <w:rFonts w:ascii="Arial" w:hAnsi="Arial"/>
          <w:noProof w:val="0"/>
          <w:rtl/>
        </w:rPr>
        <w:t xml:space="preserve">המבקש, אשר לא השלים עם ההחלטות, הגיש ביום 06.06.2023 בקשה לקבלת רשות לערער עליהן, ומכאן החלטה זו. </w:t>
      </w:r>
    </w:p>
    <w:p w:rsidR="00CD5D7D" w:rsidRDefault="00CD5D7D" w:rsidP="00CD5D7D">
      <w:pPr>
        <w:pStyle w:val="a4"/>
        <w:rPr>
          <w:rFonts w:ascii="Arial" w:hAnsi="Arial"/>
          <w:noProof w:val="0"/>
          <w:rtl/>
        </w:rPr>
      </w:pPr>
    </w:p>
    <w:p w:rsidR="00CD5D7D" w:rsidRDefault="00CD5D7D" w:rsidP="00CD5D7D">
      <w:pPr>
        <w:spacing w:line="360" w:lineRule="auto"/>
        <w:jc w:val="both"/>
        <w:rPr>
          <w:rFonts w:ascii="Arial" w:hAnsi="Arial"/>
          <w:b/>
          <w:bCs/>
          <w:noProof w:val="0"/>
          <w:sz w:val="26"/>
          <w:szCs w:val="26"/>
          <w:u w:val="single"/>
        </w:rPr>
      </w:pPr>
      <w:r>
        <w:rPr>
          <w:rFonts w:ascii="Arial" w:hAnsi="Arial"/>
          <w:b/>
          <w:bCs/>
          <w:noProof w:val="0"/>
          <w:sz w:val="26"/>
          <w:szCs w:val="26"/>
          <w:u w:val="single"/>
          <w:rtl/>
        </w:rPr>
        <w:t xml:space="preserve">תמצית טענות הצדדים  </w:t>
      </w:r>
    </w:p>
    <w:p w:rsidR="00CD5D7D" w:rsidRDefault="00CD5D7D" w:rsidP="00CD5D7D">
      <w:pPr>
        <w:pStyle w:val="a4"/>
        <w:numPr>
          <w:ilvl w:val="0"/>
          <w:numId w:val="1"/>
        </w:numPr>
        <w:spacing w:line="360" w:lineRule="auto"/>
        <w:jc w:val="both"/>
        <w:rPr>
          <w:rFonts w:ascii="Arial" w:hAnsi="Arial"/>
          <w:noProof w:val="0"/>
          <w:rtl/>
        </w:rPr>
      </w:pPr>
      <w:r>
        <w:rPr>
          <w:rFonts w:ascii="Arial" w:hAnsi="Arial"/>
          <w:b/>
          <w:bCs/>
          <w:noProof w:val="0"/>
          <w:u w:val="single"/>
          <w:rtl/>
        </w:rPr>
        <w:t>לטענת המבקש</w:t>
      </w:r>
      <w:r>
        <w:rPr>
          <w:rFonts w:ascii="Arial" w:hAnsi="Arial"/>
          <w:noProof w:val="0"/>
          <w:rtl/>
        </w:rPr>
        <w:t>, מחמת העדר אמצעים זמינים לתשלום החוב למס הכנסה, פנה הוא לבית המשפט קמא בבקשה להחשת פירוק השיתוף בבית המגורים, אשר שוויו עומד על כ- 4.5 מיליון ₪ (</w:t>
      </w:r>
      <w:r>
        <w:rPr>
          <w:rFonts w:ascii="Arial" w:hAnsi="Arial" w:hint="cs"/>
          <w:noProof w:val="0"/>
          <w:rtl/>
        </w:rPr>
        <w:t>ו</w:t>
      </w:r>
      <w:r>
        <w:rPr>
          <w:rFonts w:ascii="Arial" w:hAnsi="Arial"/>
          <w:noProof w:val="0"/>
          <w:rtl/>
        </w:rPr>
        <w:t xml:space="preserve">רובצת </w:t>
      </w:r>
      <w:r>
        <w:rPr>
          <w:rFonts w:ascii="Arial" w:hAnsi="Arial" w:hint="cs"/>
          <w:noProof w:val="0"/>
          <w:rtl/>
        </w:rPr>
        <w:t xml:space="preserve">עליו </w:t>
      </w:r>
      <w:r>
        <w:rPr>
          <w:rFonts w:ascii="Arial" w:hAnsi="Arial"/>
          <w:noProof w:val="0"/>
          <w:rtl/>
        </w:rPr>
        <w:t xml:space="preserve">משכנתא שיתרתה לסילוק עומדת על כמיליון ₪); לדידו, שגה בית המשפט קמא בקבעו, כי יש לו היכולת הכלכלית לשאת </w:t>
      </w:r>
      <w:r>
        <w:rPr>
          <w:rFonts w:ascii="Arial" w:hAnsi="Arial" w:hint="cs"/>
          <w:noProof w:val="0"/>
          <w:rtl/>
        </w:rPr>
        <w:t xml:space="preserve">לבד </w:t>
      </w:r>
      <w:r>
        <w:rPr>
          <w:rFonts w:ascii="Arial" w:hAnsi="Arial"/>
          <w:noProof w:val="0"/>
          <w:rtl/>
        </w:rPr>
        <w:t>בתשלום החוב למס הכנסה מבלי שהדבר נבדק לעומק ומבלי שנבחנו יכולותיה הכלכליות של המשיבה; לטענתו</w:t>
      </w:r>
      <w:r>
        <w:rPr>
          <w:rFonts w:ascii="Arial" w:hAnsi="Arial" w:hint="cs"/>
          <w:noProof w:val="0"/>
          <w:rtl/>
        </w:rPr>
        <w:t>,</w:t>
      </w:r>
      <w:r>
        <w:rPr>
          <w:rFonts w:ascii="Arial" w:hAnsi="Arial"/>
          <w:noProof w:val="0"/>
          <w:rtl/>
        </w:rPr>
        <w:t xml:space="preserve"> החוב למס הכנסה נובע ממשיכות בעלים מקופת החברה בסך של כ-1.8 מיליון ₪ אשר נותבו למשק הבית המשותף של הצדדים על פני תקופה המשתרעת על כ-16-18 שנה; החוב הוא משותף, וככל שלא יפרע במועד, יגרור הדבר סנקציות שיוטלו על שני הצדדים ויסב לשניהם </w:t>
      </w:r>
      <w:r>
        <w:rPr>
          <w:rFonts w:ascii="Arial" w:hAnsi="Arial"/>
          <w:noProof w:val="0"/>
          <w:rtl/>
        </w:rPr>
        <w:lastRenderedPageBreak/>
        <w:t xml:space="preserve">נזק כלכלי כבד, ולכן אין מנוס ממכירת הבית המשותף; בית המשפט קמא לא בחן לעומק טיבו של החיוב הגבוה במס והסתפק בקביעה, כי גובהו מלמד על חוסנו הכלכלי ועל יכולותיו הכלכליות העולות על אלו של המשיבה; בהתאם לפסיקה, ככל שבית המשפט מחליט להשעות מימוש זכותו הקניינית של בן הזוג השותף במקרקעין, עליו לבחון כדבעי האיזון בין הפגיעה בזכות הקניינית ובין הניסיון להגיע לפתרון כולל וסופי; בית המשפט קמא שגה בכך שלא בחן את מכלול השיקולים וההשלכות שיש לעיכוב במכירת הבית על יכולת הצדדים לשאת בחוב המשותף למס הכנסה; במקרה דנא דחיית פירוק השיתוף בבית תכביד עליו מהותית, וברי כי ככל שתידרש הערכת שווי החברה עלולה ההתדיינות בין הצדדים להיות מורכבת וארוכה. </w:t>
      </w:r>
    </w:p>
    <w:p w:rsidR="00CD5D7D" w:rsidRDefault="00CD5D7D" w:rsidP="00CD5D7D">
      <w:pPr>
        <w:pStyle w:val="a4"/>
        <w:spacing w:line="360" w:lineRule="auto"/>
        <w:jc w:val="both"/>
        <w:rPr>
          <w:rFonts w:ascii="Arial" w:hAnsi="Arial"/>
          <w:noProof w:val="0"/>
        </w:rPr>
      </w:pPr>
      <w:r>
        <w:rPr>
          <w:rFonts w:ascii="Arial" w:hAnsi="Arial"/>
          <w:noProof w:val="0"/>
          <w:rtl/>
        </w:rPr>
        <w:t>לפיכך, עותר המבקש לקבלת הבקשה, לדון בה כבערעור ולהורות על מכירת הבית לא</w:t>
      </w:r>
      <w:r>
        <w:rPr>
          <w:rFonts w:ascii="Arial" w:hAnsi="Arial" w:hint="cs"/>
          <w:noProof w:val="0"/>
          <w:rtl/>
        </w:rPr>
        <w:t>ל</w:t>
      </w:r>
      <w:r>
        <w:rPr>
          <w:rFonts w:ascii="Arial" w:hAnsi="Arial"/>
          <w:noProof w:val="0"/>
          <w:rtl/>
        </w:rPr>
        <w:t xml:space="preserve">תר ופירעון החוב למס הכנסה מתוך התמורה שתתקבל, ולחילופין, להשיב הדיון לבית המשפט קמא על מנת שיבחן מחדש את יכולתו הכלכלית לשאת בתשלום המס ואת דחיית מועד פירוק השיתוף בבית המגורים. </w:t>
      </w:r>
    </w:p>
    <w:p w:rsidR="00CD5D7D" w:rsidRDefault="00CD5D7D" w:rsidP="00CD5D7D">
      <w:pPr>
        <w:pStyle w:val="a4"/>
        <w:rPr>
          <w:rFonts w:ascii="Arial" w:hAnsi="Arial"/>
          <w:noProof w:val="0"/>
        </w:rPr>
      </w:pPr>
    </w:p>
    <w:p w:rsidR="00CD5D7D" w:rsidRDefault="00CD5D7D" w:rsidP="00CD5D7D">
      <w:pPr>
        <w:pStyle w:val="a4"/>
        <w:numPr>
          <w:ilvl w:val="0"/>
          <w:numId w:val="1"/>
        </w:numPr>
        <w:spacing w:line="360" w:lineRule="auto"/>
        <w:jc w:val="both"/>
        <w:rPr>
          <w:rFonts w:ascii="Arial" w:hAnsi="Arial"/>
          <w:noProof w:val="0"/>
          <w:rtl/>
        </w:rPr>
      </w:pPr>
      <w:r>
        <w:rPr>
          <w:rFonts w:ascii="Arial" w:hAnsi="Arial"/>
          <w:noProof w:val="0"/>
          <w:rtl/>
        </w:rPr>
        <w:t xml:space="preserve">מנגד, </w:t>
      </w:r>
      <w:r>
        <w:rPr>
          <w:rFonts w:ascii="Arial" w:hAnsi="Arial"/>
          <w:b/>
          <w:bCs/>
          <w:noProof w:val="0"/>
          <w:u w:val="single"/>
          <w:rtl/>
        </w:rPr>
        <w:t>טוענת המשיבה,</w:t>
      </w:r>
      <w:r>
        <w:rPr>
          <w:rFonts w:ascii="Arial" w:hAnsi="Arial"/>
          <w:noProof w:val="0"/>
          <w:rtl/>
        </w:rPr>
        <w:t xml:space="preserve"> כי עסקינן בהחלטות הנושאות אופי דיוני מובהק, ובהתאם להלכה הפסוקה מידת ההתערבות של ערכאת הערעור בהחלטות ממין אלו היא מצומצמת; ככל שבקשת רשות הערעור תתקבל, משמעות הדבר תהא הכרעה בהליך בשלב מקדמי העלולה לגרום ל</w:t>
      </w:r>
      <w:r>
        <w:rPr>
          <w:rFonts w:ascii="Arial" w:hAnsi="Arial" w:hint="cs"/>
          <w:noProof w:val="0"/>
          <w:rtl/>
        </w:rPr>
        <w:t xml:space="preserve">ה </w:t>
      </w:r>
      <w:r>
        <w:rPr>
          <w:rFonts w:ascii="Arial" w:hAnsi="Arial"/>
          <w:noProof w:val="0"/>
          <w:rtl/>
        </w:rPr>
        <w:t>עיוות דין, בפרט בשים לב לפערים המשמעותיים במצבם הכלכלי של הצדדים ובגובה הכנסותיהם; עפ"י הפסיקה לערכאה הדיונית שיקול דעת נרחב בעניין עיתוי פירוק השיתוף ב</w:t>
      </w:r>
      <w:r>
        <w:rPr>
          <w:rFonts w:ascii="Arial" w:hAnsi="Arial" w:hint="cs"/>
          <w:noProof w:val="0"/>
          <w:rtl/>
        </w:rPr>
        <w:t>בית</w:t>
      </w:r>
      <w:r>
        <w:rPr>
          <w:rFonts w:ascii="Arial" w:hAnsi="Arial"/>
          <w:noProof w:val="0"/>
          <w:rtl/>
        </w:rPr>
        <w:t xml:space="preserve"> המגורים של בני זוג שנפרדו; בית המגורים הוא הנכס הבלעדי והעיקרי של הצדדים, זולת החברות שהמבקש מחזיק במניותיהן, בעניינן מונה מומחה חוקר שניתנו לו סמכויות נרחבות והבית הוא הנכס היחיד ממנו תוכל היא להיפרע בסופו של ההליך; בנסיבות המקרה דנא יש להמתין לתום ההליך </w:t>
      </w:r>
      <w:proofErr w:type="spellStart"/>
      <w:r>
        <w:rPr>
          <w:rFonts w:ascii="Arial" w:hAnsi="Arial"/>
          <w:noProof w:val="0"/>
          <w:rtl/>
        </w:rPr>
        <w:t>הרכושי</w:t>
      </w:r>
      <w:proofErr w:type="spellEnd"/>
      <w:r>
        <w:rPr>
          <w:rFonts w:ascii="Arial" w:hAnsi="Arial"/>
          <w:noProof w:val="0"/>
          <w:rtl/>
        </w:rPr>
        <w:t xml:space="preserve"> ולליבון כלל הסוגיות שבמחלוקת טרם מתן צו לפירוק השיתוף. משכך, בקשות המבקש מקדימות את זמנן; המבקש מגלה טפח ומסתיר טפחיים ובתוך כך הסתיר בבקשה העובדה שמונה מומחה חוקר לשם בירור הטענות בעניין התנהלות</w:t>
      </w:r>
      <w:r>
        <w:rPr>
          <w:rFonts w:ascii="Arial" w:hAnsi="Arial" w:hint="cs"/>
          <w:noProof w:val="0"/>
          <w:rtl/>
        </w:rPr>
        <w:t>ו</w:t>
      </w:r>
      <w:r>
        <w:rPr>
          <w:rFonts w:ascii="Arial" w:hAnsi="Arial"/>
          <w:noProof w:val="0"/>
          <w:rtl/>
        </w:rPr>
        <w:t xml:space="preserve"> הכלכלית והזיקה שלו לחברות בארץ ובחו"ל, והעובדה שאינו משתף </w:t>
      </w:r>
      <w:r>
        <w:rPr>
          <w:rFonts w:ascii="Arial" w:hAnsi="Arial" w:hint="cs"/>
          <w:noProof w:val="0"/>
          <w:rtl/>
        </w:rPr>
        <w:t>עם המומחה</w:t>
      </w:r>
      <w:r>
        <w:rPr>
          <w:rFonts w:ascii="Arial" w:hAnsi="Arial"/>
          <w:noProof w:val="0"/>
          <w:rtl/>
        </w:rPr>
        <w:t xml:space="preserve"> פעולה. כן הוסתרה על ידו העובדה, שחרף החלטת בית המשפט קמא שנתקבלה על יסוד הסכמות הצדדים, אין הוא נושא בהוצאות ההחזקה של בית המגורים ובהחזרי המשכנתא; בניגוד לנטען על ידו, </w:t>
      </w:r>
      <w:r>
        <w:rPr>
          <w:rFonts w:ascii="Arial" w:hAnsi="Arial" w:hint="cs"/>
          <w:noProof w:val="0"/>
          <w:rtl/>
        </w:rPr>
        <w:t xml:space="preserve">אין </w:t>
      </w:r>
      <w:r>
        <w:rPr>
          <w:rFonts w:ascii="Arial" w:hAnsi="Arial"/>
          <w:noProof w:val="0"/>
          <w:rtl/>
        </w:rPr>
        <w:t xml:space="preserve">למבקש </w:t>
      </w:r>
      <w:r>
        <w:rPr>
          <w:rFonts w:ascii="Arial" w:hAnsi="Arial" w:hint="cs"/>
          <w:noProof w:val="0"/>
          <w:rtl/>
        </w:rPr>
        <w:t>כ</w:t>
      </w:r>
      <w:r>
        <w:rPr>
          <w:rFonts w:ascii="Arial" w:hAnsi="Arial"/>
          <w:noProof w:val="0"/>
          <w:rtl/>
        </w:rPr>
        <w:t xml:space="preserve">ל קושי תזרימי; בית המשפט קמא לא שגה בקבעו כי יכולותיו הכלכליות עולות לאין ערוך על </w:t>
      </w:r>
      <w:r>
        <w:rPr>
          <w:rFonts w:ascii="Arial" w:hAnsi="Arial" w:hint="cs"/>
          <w:noProof w:val="0"/>
          <w:rtl/>
        </w:rPr>
        <w:t xml:space="preserve">אלו </w:t>
      </w:r>
      <w:r>
        <w:rPr>
          <w:rFonts w:ascii="Arial" w:hAnsi="Arial"/>
          <w:noProof w:val="0"/>
          <w:rtl/>
        </w:rPr>
        <w:t xml:space="preserve">שלה, שעה שהסתמך על נתונים שהוצגו על ידי המבקש עצמו; מטרת הפנייה של המבקש לבית המשפט קמא בבקשה לפירוק שיתוף מידי בבית המגורים היא להפעיל </w:t>
      </w:r>
      <w:r>
        <w:rPr>
          <w:rFonts w:ascii="Arial" w:hAnsi="Arial" w:hint="cs"/>
          <w:noProof w:val="0"/>
          <w:rtl/>
        </w:rPr>
        <w:t xml:space="preserve">עליה </w:t>
      </w:r>
      <w:r>
        <w:rPr>
          <w:rFonts w:ascii="Arial" w:hAnsi="Arial"/>
          <w:noProof w:val="0"/>
          <w:rtl/>
        </w:rPr>
        <w:t xml:space="preserve">לחץ ולכפות עליה הסדרים כלכליים גרועים אגב הגירושין; בניגוד לנטען ע"י המבקש, בהתאם לפסיקה המנחה בעניין, השאיפה היא לדחות </w:t>
      </w:r>
      <w:r>
        <w:rPr>
          <w:rFonts w:ascii="Arial" w:hAnsi="Arial" w:hint="cs"/>
          <w:noProof w:val="0"/>
          <w:rtl/>
        </w:rPr>
        <w:t xml:space="preserve">את </w:t>
      </w:r>
      <w:r>
        <w:rPr>
          <w:rFonts w:ascii="Arial" w:hAnsi="Arial"/>
          <w:noProof w:val="0"/>
          <w:rtl/>
        </w:rPr>
        <w:t xml:space="preserve">פירוק השיתוף בבית המגורים עד שתתקבל תמונת הנכסים במלואה ולדון במכלול העניינים </w:t>
      </w:r>
      <w:proofErr w:type="spellStart"/>
      <w:r>
        <w:rPr>
          <w:rFonts w:ascii="Arial" w:hAnsi="Arial"/>
          <w:noProof w:val="0"/>
          <w:rtl/>
        </w:rPr>
        <w:t>הרכושיים</w:t>
      </w:r>
      <w:proofErr w:type="spellEnd"/>
      <w:r>
        <w:rPr>
          <w:rFonts w:ascii="Arial" w:hAnsi="Arial"/>
          <w:noProof w:val="0"/>
          <w:rtl/>
        </w:rPr>
        <w:t xml:space="preserve"> של בני הזוג במאוחד.  </w:t>
      </w:r>
    </w:p>
    <w:p w:rsidR="00CD5D7D" w:rsidRDefault="00CD5D7D" w:rsidP="00CD5D7D">
      <w:pPr>
        <w:pStyle w:val="a4"/>
        <w:rPr>
          <w:rFonts w:ascii="Arial" w:hAnsi="Arial"/>
          <w:noProof w:val="0"/>
        </w:rPr>
      </w:pPr>
    </w:p>
    <w:p w:rsidR="00CD5D7D" w:rsidRDefault="00CD5D7D" w:rsidP="00CD5D7D">
      <w:pPr>
        <w:pStyle w:val="a4"/>
        <w:spacing w:line="360" w:lineRule="auto"/>
        <w:jc w:val="both"/>
        <w:rPr>
          <w:rFonts w:ascii="Arial" w:hAnsi="Arial"/>
          <w:noProof w:val="0"/>
          <w:rtl/>
        </w:rPr>
      </w:pPr>
      <w:r>
        <w:rPr>
          <w:rFonts w:ascii="Arial" w:hAnsi="Arial"/>
          <w:noProof w:val="0"/>
          <w:rtl/>
        </w:rPr>
        <w:t>משכך, עותרת המשיבה לדחיית בקשות רשות הערעור.</w:t>
      </w:r>
    </w:p>
    <w:p w:rsidR="00CD5D7D" w:rsidRDefault="00CD5D7D" w:rsidP="00CD5D7D"/>
    <w:p w:rsidR="00CD5D7D" w:rsidRDefault="00CD5D7D" w:rsidP="00CD5D7D">
      <w:pPr>
        <w:spacing w:line="360" w:lineRule="auto"/>
        <w:jc w:val="both"/>
        <w:rPr>
          <w:rFonts w:ascii="Arial" w:hAnsi="Arial"/>
          <w:b/>
          <w:bCs/>
          <w:noProof w:val="0"/>
          <w:sz w:val="26"/>
          <w:szCs w:val="26"/>
          <w:u w:val="single"/>
          <w:rtl/>
        </w:rPr>
      </w:pPr>
      <w:r>
        <w:rPr>
          <w:rFonts w:ascii="Arial" w:hAnsi="Arial"/>
          <w:b/>
          <w:bCs/>
          <w:noProof w:val="0"/>
          <w:sz w:val="26"/>
          <w:szCs w:val="26"/>
          <w:u w:val="single"/>
          <w:rtl/>
        </w:rPr>
        <w:t>דיון והכרעה</w:t>
      </w:r>
    </w:p>
    <w:p w:rsidR="00CD5D7D" w:rsidRDefault="00CD5D7D" w:rsidP="00CD5D7D">
      <w:pPr>
        <w:rPr>
          <w:rtl/>
        </w:rPr>
      </w:pPr>
    </w:p>
    <w:p w:rsidR="00CD5D7D" w:rsidRDefault="00CD5D7D" w:rsidP="00CD5D7D">
      <w:pPr>
        <w:pStyle w:val="a4"/>
        <w:numPr>
          <w:ilvl w:val="0"/>
          <w:numId w:val="1"/>
        </w:numPr>
        <w:spacing w:line="360" w:lineRule="auto"/>
        <w:jc w:val="both"/>
        <w:rPr>
          <w:rFonts w:ascii="Arial" w:hAnsi="Arial"/>
          <w:b/>
          <w:bCs/>
          <w:noProof w:val="0"/>
          <w:rtl/>
        </w:rPr>
      </w:pPr>
      <w:r>
        <w:rPr>
          <w:rFonts w:ascii="Arial" w:hAnsi="Arial"/>
          <w:b/>
          <w:bCs/>
          <w:noProof w:val="0"/>
          <w:rtl/>
        </w:rPr>
        <w:lastRenderedPageBreak/>
        <w:t xml:space="preserve">על יסוד תקנה 138(א)(5) לתקנות סדר הדין האזרחי, תשע"ט-2018 ולאחר עיון באשר מונח לפניי ובתיק המתנהל בבית המשפט קמא, באתי לכלל מסקנה כי דין בקשת רשות הערעור על שני ראשיה להידחות מהנימוקים שיובאו להלן. </w:t>
      </w:r>
    </w:p>
    <w:p w:rsidR="00CD5D7D" w:rsidRDefault="00CD5D7D" w:rsidP="00CD5D7D">
      <w:pPr>
        <w:pStyle w:val="a4"/>
        <w:jc w:val="both"/>
        <w:rPr>
          <w:rFonts w:ascii="Arial" w:hAnsi="Arial"/>
          <w:b/>
          <w:bCs/>
          <w:noProof w:val="0"/>
          <w:rtl/>
        </w:rPr>
      </w:pPr>
    </w:p>
    <w:p w:rsidR="00CD5D7D" w:rsidRDefault="00CD5D7D" w:rsidP="00CD5D7D">
      <w:pPr>
        <w:pStyle w:val="a4"/>
        <w:numPr>
          <w:ilvl w:val="0"/>
          <w:numId w:val="1"/>
        </w:numPr>
        <w:spacing w:line="360" w:lineRule="auto"/>
        <w:jc w:val="both"/>
        <w:rPr>
          <w:rFonts w:ascii="Arial" w:hAnsi="Arial"/>
          <w:b/>
          <w:bCs/>
          <w:noProof w:val="0"/>
          <w:rtl/>
        </w:rPr>
      </w:pPr>
      <w:r>
        <w:rPr>
          <w:rFonts w:ascii="Arial" w:hAnsi="Arial"/>
          <w:noProof w:val="0"/>
          <w:rtl/>
        </w:rPr>
        <w:t xml:space="preserve">המחלוקת בין הצדדים באשר הובאה לפתחו של בית משפט זה מתעוררת פעמים הרבה עת מדובר בענייני ממון </w:t>
      </w:r>
      <w:r>
        <w:rPr>
          <w:rFonts w:ascii="Arial" w:hAnsi="Arial" w:hint="cs"/>
          <w:noProof w:val="0"/>
          <w:rtl/>
        </w:rPr>
        <w:t xml:space="preserve">ורכוש </w:t>
      </w:r>
      <w:r>
        <w:rPr>
          <w:rFonts w:ascii="Arial" w:hAnsi="Arial"/>
          <w:noProof w:val="0"/>
          <w:rtl/>
        </w:rPr>
        <w:t>של בני זוג שנישואיהם באו אל קצם</w:t>
      </w:r>
      <w:r>
        <w:rPr>
          <w:rFonts w:ascii="Arial" w:hAnsi="Arial" w:hint="cs"/>
          <w:noProof w:val="0"/>
          <w:rtl/>
        </w:rPr>
        <w:t>,</w:t>
      </w:r>
      <w:r>
        <w:rPr>
          <w:rFonts w:ascii="Arial" w:hAnsi="Arial"/>
          <w:noProof w:val="0"/>
          <w:rtl/>
        </w:rPr>
        <w:t xml:space="preserve"> נוכח אופיין של זכויות הקניין שלהם כשותפים בנכס/י מקרקעין מזה</w:t>
      </w:r>
      <w:r>
        <w:rPr>
          <w:rFonts w:ascii="Arial" w:hAnsi="Arial" w:hint="cs"/>
          <w:noProof w:val="0"/>
          <w:rtl/>
        </w:rPr>
        <w:t>,</w:t>
      </w:r>
      <w:r>
        <w:rPr>
          <w:rFonts w:ascii="Arial" w:hAnsi="Arial"/>
          <w:noProof w:val="0"/>
          <w:rtl/>
        </w:rPr>
        <w:t xml:space="preserve"> וטיבו של הסדר איזון המשאבים מזה (בהנחה שמדובר בבני זוג שחל עליהם המשטר </w:t>
      </w:r>
      <w:proofErr w:type="spellStart"/>
      <w:r>
        <w:rPr>
          <w:rFonts w:ascii="Arial" w:hAnsi="Arial"/>
          <w:noProof w:val="0"/>
          <w:rtl/>
        </w:rPr>
        <w:t>הרכושי</w:t>
      </w:r>
      <w:proofErr w:type="spellEnd"/>
      <w:r>
        <w:rPr>
          <w:rFonts w:ascii="Arial" w:hAnsi="Arial"/>
          <w:noProof w:val="0"/>
          <w:rtl/>
        </w:rPr>
        <w:t xml:space="preserve"> הקבוע בחוק יחסי ממון בין בני זוג, תשל"ג-1973). </w:t>
      </w:r>
    </w:p>
    <w:p w:rsidR="00CD5D7D" w:rsidRDefault="00CD5D7D" w:rsidP="00CD5D7D">
      <w:pPr>
        <w:pStyle w:val="a4"/>
        <w:rPr>
          <w:rFonts w:ascii="Arial" w:hAnsi="Arial"/>
          <w:b/>
          <w:bCs/>
          <w:noProof w:val="0"/>
        </w:rPr>
      </w:pPr>
    </w:p>
    <w:p w:rsidR="00CD5D7D" w:rsidRDefault="00CD5D7D" w:rsidP="00CD5D7D">
      <w:pPr>
        <w:pStyle w:val="a4"/>
        <w:numPr>
          <w:ilvl w:val="0"/>
          <w:numId w:val="1"/>
        </w:numPr>
        <w:spacing w:line="360" w:lineRule="auto"/>
        <w:jc w:val="both"/>
        <w:rPr>
          <w:rFonts w:ascii="Arial" w:hAnsi="Arial"/>
          <w:noProof w:val="0"/>
          <w:rtl/>
        </w:rPr>
      </w:pPr>
      <w:r>
        <w:rPr>
          <w:rFonts w:ascii="Arial" w:hAnsi="Arial"/>
          <w:noProof w:val="0"/>
          <w:rtl/>
        </w:rPr>
        <w:t>מדובר במערכת יחסי גומלין בין שתי מערכות הדינים הללו, אשר מטבע הדברים, עת מדובר במערכת יחסים זוגית ובמשפחה אחת, הן אוצלות זו על זו ושלובות זו בזו.</w:t>
      </w:r>
    </w:p>
    <w:p w:rsidR="00CD5D7D" w:rsidRDefault="00CD5D7D" w:rsidP="00CD5D7D">
      <w:pPr>
        <w:pStyle w:val="a4"/>
        <w:rPr>
          <w:rFonts w:ascii="Arial" w:hAnsi="Arial"/>
          <w:noProof w:val="0"/>
        </w:rPr>
      </w:pPr>
    </w:p>
    <w:p w:rsidR="00CD5D7D" w:rsidRDefault="00CD5D7D" w:rsidP="00CD5D7D">
      <w:pPr>
        <w:pStyle w:val="a4"/>
        <w:numPr>
          <w:ilvl w:val="0"/>
          <w:numId w:val="1"/>
        </w:numPr>
        <w:spacing w:line="360" w:lineRule="auto"/>
        <w:jc w:val="both"/>
        <w:rPr>
          <w:rFonts w:ascii="Arial" w:hAnsi="Arial"/>
          <w:b/>
          <w:bCs/>
          <w:noProof w:val="0"/>
          <w:rtl/>
        </w:rPr>
      </w:pPr>
      <w:r>
        <w:rPr>
          <w:rFonts w:ascii="Arial" w:hAnsi="Arial"/>
          <w:noProof w:val="0"/>
          <w:rtl/>
        </w:rPr>
        <w:t xml:space="preserve">אכן, וכפי שנטען ע"י המשיבה, השאיפה היא לחתור להסדר כולל בכלל המחלוקות בין בני הזוג, </w:t>
      </w:r>
      <w:r>
        <w:rPr>
          <w:rFonts w:ascii="Arial" w:hAnsi="Arial" w:hint="cs"/>
          <w:noProof w:val="0"/>
          <w:rtl/>
        </w:rPr>
        <w:t>וזהו גם</w:t>
      </w:r>
      <w:r>
        <w:rPr>
          <w:rFonts w:ascii="Arial" w:hAnsi="Arial"/>
          <w:noProof w:val="0"/>
          <w:rtl/>
        </w:rPr>
        <w:t xml:space="preserve"> אחד היסודות שעליהם הוקמו בתי המשפט לענייני משפחה כאינסטנציה מקצועית שתפקידה לספק מענה אינטגרטיבי לכלל המחלוקות בעניינה של המשפחה המסוימת אשר ענייניה מובאים לפניה. </w:t>
      </w:r>
    </w:p>
    <w:p w:rsidR="00CD5D7D" w:rsidRDefault="00CD5D7D" w:rsidP="00CD5D7D">
      <w:pPr>
        <w:pStyle w:val="a4"/>
        <w:rPr>
          <w:rFonts w:ascii="Arial" w:hAnsi="Arial"/>
          <w:noProof w:val="0"/>
        </w:rPr>
      </w:pPr>
    </w:p>
    <w:p w:rsidR="00CD5D7D" w:rsidRDefault="00CD5D7D" w:rsidP="00CD5D7D">
      <w:pPr>
        <w:pStyle w:val="a4"/>
        <w:spacing w:line="360" w:lineRule="auto"/>
        <w:jc w:val="both"/>
        <w:rPr>
          <w:rFonts w:ascii="Arial" w:hAnsi="Arial"/>
          <w:noProof w:val="0"/>
          <w:rtl/>
        </w:rPr>
      </w:pPr>
      <w:r>
        <w:rPr>
          <w:rFonts w:ascii="Arial" w:hAnsi="Arial"/>
          <w:noProof w:val="0"/>
          <w:rtl/>
        </w:rPr>
        <w:t xml:space="preserve">מנגד וכפי שטוען המבקש, החתירה </w:t>
      </w:r>
      <w:r>
        <w:rPr>
          <w:rFonts w:ascii="Arial" w:hAnsi="Arial" w:hint="cs"/>
          <w:noProof w:val="0"/>
          <w:rtl/>
        </w:rPr>
        <w:t xml:space="preserve">והשאיפה </w:t>
      </w:r>
      <w:r>
        <w:rPr>
          <w:rFonts w:ascii="Arial" w:hAnsi="Arial"/>
          <w:noProof w:val="0"/>
          <w:rtl/>
        </w:rPr>
        <w:t xml:space="preserve">להסדר כולל אינה חזות </w:t>
      </w:r>
      <w:proofErr w:type="spellStart"/>
      <w:r>
        <w:rPr>
          <w:rFonts w:ascii="Arial" w:hAnsi="Arial"/>
          <w:noProof w:val="0"/>
          <w:rtl/>
        </w:rPr>
        <w:t>הכל</w:t>
      </w:r>
      <w:proofErr w:type="spellEnd"/>
      <w:r>
        <w:rPr>
          <w:rFonts w:ascii="Arial" w:hAnsi="Arial"/>
          <w:noProof w:val="0"/>
          <w:rtl/>
        </w:rPr>
        <w:t xml:space="preserve">, </w:t>
      </w:r>
      <w:r>
        <w:rPr>
          <w:rFonts w:ascii="Arial" w:hAnsi="Arial" w:hint="cs"/>
          <w:noProof w:val="0"/>
          <w:rtl/>
        </w:rPr>
        <w:t xml:space="preserve">בבחינת יש להשיגו "בכל מחיר", </w:t>
      </w:r>
      <w:r>
        <w:rPr>
          <w:rFonts w:ascii="Arial" w:hAnsi="Arial"/>
          <w:noProof w:val="0"/>
          <w:rtl/>
        </w:rPr>
        <w:t>ונדרשת גם הגנה על זכויות הקניין</w:t>
      </w:r>
      <w:r>
        <w:rPr>
          <w:rFonts w:ascii="Arial" w:hAnsi="Arial" w:hint="cs"/>
          <w:noProof w:val="0"/>
          <w:rtl/>
        </w:rPr>
        <w:t>,</w:t>
      </w:r>
      <w:r>
        <w:rPr>
          <w:rFonts w:ascii="Arial" w:hAnsi="Arial"/>
          <w:noProof w:val="0"/>
          <w:rtl/>
        </w:rPr>
        <w:t xml:space="preserve"> על הזכות להליך הוגן של בני הזוג או מי מהם</w:t>
      </w:r>
      <w:r>
        <w:rPr>
          <w:rFonts w:ascii="Arial" w:hAnsi="Arial" w:hint="cs"/>
          <w:noProof w:val="0"/>
          <w:rtl/>
        </w:rPr>
        <w:t xml:space="preserve"> ועל ערכים חוקתיים נוספים</w:t>
      </w:r>
      <w:r>
        <w:rPr>
          <w:rFonts w:ascii="Arial" w:hAnsi="Arial"/>
          <w:noProof w:val="0"/>
          <w:rtl/>
        </w:rPr>
        <w:t xml:space="preserve">. </w:t>
      </w:r>
    </w:p>
    <w:p w:rsidR="00CD5D7D" w:rsidRDefault="00CD5D7D" w:rsidP="00CD5D7D">
      <w:pPr>
        <w:spacing w:line="360" w:lineRule="auto"/>
        <w:jc w:val="both"/>
        <w:rPr>
          <w:rFonts w:ascii="Arial" w:hAnsi="Arial"/>
          <w:b/>
          <w:bCs/>
          <w:noProof w:val="0"/>
          <w:rtl/>
        </w:rPr>
      </w:pPr>
    </w:p>
    <w:p w:rsidR="00CD5D7D" w:rsidRDefault="00CD5D7D" w:rsidP="00CD5D7D">
      <w:pPr>
        <w:pStyle w:val="a4"/>
        <w:numPr>
          <w:ilvl w:val="0"/>
          <w:numId w:val="1"/>
        </w:numPr>
        <w:spacing w:line="360" w:lineRule="auto"/>
        <w:jc w:val="both"/>
        <w:rPr>
          <w:rFonts w:ascii="Arial" w:hAnsi="Arial"/>
          <w:b/>
          <w:bCs/>
          <w:noProof w:val="0"/>
        </w:rPr>
      </w:pPr>
      <w:r>
        <w:rPr>
          <w:rFonts w:ascii="Arial" w:hAnsi="Arial"/>
          <w:noProof w:val="0"/>
          <w:rtl/>
        </w:rPr>
        <w:t xml:space="preserve">ברי, כי על בית המשפט מוטלת המלאכה לאזן בין הזכויות, הערכים והאינטרסים הללו בהתאם לנסיבות המקרה שלפניו. </w:t>
      </w:r>
    </w:p>
    <w:p w:rsidR="00CD5D7D" w:rsidRDefault="00CD5D7D" w:rsidP="00CD5D7D">
      <w:pPr>
        <w:pStyle w:val="a4"/>
        <w:spacing w:line="360" w:lineRule="auto"/>
        <w:jc w:val="both"/>
        <w:rPr>
          <w:rFonts w:ascii="Arial" w:hAnsi="Arial"/>
          <w:b/>
          <w:bCs/>
          <w:noProof w:val="0"/>
        </w:rPr>
      </w:pPr>
    </w:p>
    <w:p w:rsidR="00CD5D7D" w:rsidRDefault="00CD5D7D" w:rsidP="00CD5D7D">
      <w:pPr>
        <w:pStyle w:val="a4"/>
        <w:numPr>
          <w:ilvl w:val="0"/>
          <w:numId w:val="1"/>
        </w:numPr>
        <w:spacing w:line="360" w:lineRule="auto"/>
        <w:jc w:val="both"/>
        <w:rPr>
          <w:rFonts w:ascii="Arial" w:hAnsi="Arial"/>
          <w:noProof w:val="0"/>
        </w:rPr>
      </w:pPr>
      <w:r>
        <w:rPr>
          <w:rFonts w:ascii="Arial" w:hAnsi="Arial"/>
          <w:noProof w:val="0"/>
          <w:rtl/>
        </w:rPr>
        <w:t xml:space="preserve">הציר המרכזי סביבו נסובות השאלות שלפנינו הוא, אפוא, ציר הזמן, דהיינו האם ראוי ונכון לסנכרן מועד פירוק השיתוף בנכס המקרקעין עם מועד איזון המשאבים או שמא יש להפריד ביניהם. </w:t>
      </w:r>
    </w:p>
    <w:p w:rsidR="00CD5D7D" w:rsidRDefault="00CD5D7D" w:rsidP="00CD5D7D">
      <w:pPr>
        <w:pStyle w:val="a4"/>
        <w:rPr>
          <w:rFonts w:ascii="Arial" w:hAnsi="Arial"/>
          <w:noProof w:val="0"/>
        </w:rPr>
      </w:pPr>
    </w:p>
    <w:p w:rsidR="00CD5D7D" w:rsidRDefault="00CD5D7D" w:rsidP="00CD5D7D">
      <w:pPr>
        <w:pStyle w:val="a4"/>
        <w:numPr>
          <w:ilvl w:val="0"/>
          <w:numId w:val="1"/>
        </w:numPr>
        <w:spacing w:line="360" w:lineRule="auto"/>
        <w:jc w:val="both"/>
        <w:rPr>
          <w:rFonts w:ascii="Arial" w:hAnsi="Arial"/>
          <w:b/>
          <w:bCs/>
          <w:noProof w:val="0"/>
          <w:rtl/>
        </w:rPr>
      </w:pPr>
      <w:r>
        <w:rPr>
          <w:rFonts w:ascii="Arial" w:hAnsi="Arial"/>
          <w:noProof w:val="0"/>
          <w:rtl/>
        </w:rPr>
        <w:t xml:space="preserve">צא ולמד, כי לערכאה הדיונית שיקול דעת רחב </w:t>
      </w:r>
      <w:proofErr w:type="spellStart"/>
      <w:r>
        <w:rPr>
          <w:rFonts w:ascii="Arial" w:hAnsi="Arial"/>
          <w:noProof w:val="0"/>
          <w:rtl/>
        </w:rPr>
        <w:t>בכגון</w:t>
      </w:r>
      <w:proofErr w:type="spellEnd"/>
      <w:r>
        <w:rPr>
          <w:rFonts w:ascii="Arial" w:hAnsi="Arial"/>
          <w:noProof w:val="0"/>
          <w:rtl/>
        </w:rPr>
        <w:t xml:space="preserve"> דא,</w:t>
      </w:r>
      <w:r>
        <w:rPr>
          <w:rFonts w:ascii="Arial" w:hAnsi="Arial" w:hint="cs"/>
          <w:noProof w:val="0"/>
          <w:rtl/>
        </w:rPr>
        <w:t xml:space="preserve"> משהיא בקיאה בנפתולי הסכסוך הזוגי-משפחתי, בנסיבות בכללותן, ומעצם טיבה וחובתה, מביאה בחשבון שיקולים נוספים זולת אלה הקשורים בפן הממוני-קנייני גרידא</w:t>
      </w:r>
      <w:r>
        <w:rPr>
          <w:rFonts w:ascii="Arial" w:hAnsi="Arial"/>
          <w:noProof w:val="0"/>
          <w:rtl/>
        </w:rPr>
        <w:t>.</w:t>
      </w:r>
    </w:p>
    <w:p w:rsidR="00CD5D7D" w:rsidRDefault="00CD5D7D" w:rsidP="00CD5D7D">
      <w:pPr>
        <w:pStyle w:val="a4"/>
        <w:rPr>
          <w:rFonts w:ascii="Arial" w:hAnsi="Arial"/>
          <w:b/>
          <w:bCs/>
          <w:noProof w:val="0"/>
        </w:rPr>
      </w:pPr>
    </w:p>
    <w:p w:rsidR="00CD5D7D" w:rsidRDefault="00CD5D7D" w:rsidP="00CD5D7D">
      <w:pPr>
        <w:pStyle w:val="a4"/>
        <w:numPr>
          <w:ilvl w:val="0"/>
          <w:numId w:val="1"/>
        </w:numPr>
        <w:spacing w:line="360" w:lineRule="auto"/>
        <w:jc w:val="both"/>
        <w:rPr>
          <w:rFonts w:ascii="Arial" w:hAnsi="Arial"/>
          <w:noProof w:val="0"/>
        </w:rPr>
      </w:pPr>
      <w:r>
        <w:rPr>
          <w:rFonts w:ascii="Arial" w:hAnsi="Arial" w:hint="cs"/>
          <w:noProof w:val="0"/>
          <w:rtl/>
        </w:rPr>
        <w:t xml:space="preserve">כשם שהובהר לא אחת בפסיקה הענפה שהתפתחה בנושא הדיון שלפנינו, לרבות ובעיקר בהחלטות שיצאו מלפני בית המשפט העליון, בני זוג שהם בעלים של נכס מקרקעין במשותף מכוח נישואיהם, ובפרט נכס המשמש למגורי המשפחה, אינם נתפסים כשותפים "רגילים" במקרקעין ואף שהזכות המעוגנת בסעיף 37 לחוק המקרקעין, תשכ"ט-1969 אינה פוסחת עליהם, לעיתים, וככל שדבר נוגע </w:t>
      </w:r>
      <w:r w:rsidRPr="00D77505">
        <w:rPr>
          <w:rFonts w:ascii="Arial" w:hAnsi="Arial" w:hint="cs"/>
          <w:noProof w:val="0"/>
          <w:u w:val="single"/>
          <w:rtl/>
        </w:rPr>
        <w:t>לעיתוי</w:t>
      </w:r>
      <w:r>
        <w:rPr>
          <w:rFonts w:ascii="Arial" w:hAnsi="Arial" w:hint="cs"/>
          <w:noProof w:val="0"/>
          <w:rtl/>
        </w:rPr>
        <w:t xml:space="preserve"> פירוק השיתוף, יכול שהוא ייסוג מפני שיקולים </w:t>
      </w:r>
      <w:r>
        <w:rPr>
          <w:rFonts w:ascii="Arial" w:hAnsi="Arial" w:hint="cs"/>
          <w:noProof w:val="0"/>
          <w:rtl/>
        </w:rPr>
        <w:lastRenderedPageBreak/>
        <w:t xml:space="preserve">נוספים הקשורים בהסדרים הכלכליים ביניהם ונובעים, בין היתר, מהוראות חוק יחסי ממון בין בני זוג, תשל"ג-1973 ומשיקולי צדק, שוויון וערכים חוקתיים נוספים.     </w:t>
      </w:r>
    </w:p>
    <w:p w:rsidR="00CD5D7D" w:rsidRPr="002546CA" w:rsidRDefault="00CD5D7D" w:rsidP="00CD5D7D">
      <w:pPr>
        <w:pStyle w:val="a4"/>
        <w:rPr>
          <w:rFonts w:ascii="Arial" w:hAnsi="Arial"/>
          <w:noProof w:val="0"/>
          <w:rtl/>
        </w:rPr>
      </w:pPr>
    </w:p>
    <w:p w:rsidR="00CD5D7D" w:rsidRDefault="00CD5D7D" w:rsidP="00CD5D7D">
      <w:pPr>
        <w:pStyle w:val="a4"/>
        <w:numPr>
          <w:ilvl w:val="0"/>
          <w:numId w:val="1"/>
        </w:numPr>
        <w:spacing w:line="360" w:lineRule="auto"/>
        <w:jc w:val="both"/>
        <w:rPr>
          <w:rFonts w:ascii="Arial" w:hAnsi="Arial"/>
          <w:noProof w:val="0"/>
        </w:rPr>
      </w:pPr>
      <w:r>
        <w:rPr>
          <w:rFonts w:ascii="Arial" w:hAnsi="Arial" w:hint="cs"/>
          <w:noProof w:val="0"/>
          <w:rtl/>
        </w:rPr>
        <w:t xml:space="preserve">לערכאה הדיונית האמונה, בין היתר, על חקר האמת מסור, אפוא, שיקול הדעת לקבוע את מועד פירוק השיתוף בנכס המקרקעין המשותף לבני הזוג בהתבסס על נסיבות המקרה הקונקרטי שעניינו הובא לפניה תוך בחינת טענות הצדדים על יסוד תשתית ראייתית מספקת וביצוע </w:t>
      </w:r>
      <w:proofErr w:type="spellStart"/>
      <w:r>
        <w:rPr>
          <w:rFonts w:ascii="Arial" w:hAnsi="Arial" w:hint="cs"/>
          <w:noProof w:val="0"/>
          <w:rtl/>
        </w:rPr>
        <w:t>האיזונים</w:t>
      </w:r>
      <w:proofErr w:type="spellEnd"/>
      <w:r>
        <w:rPr>
          <w:rFonts w:ascii="Arial" w:hAnsi="Arial" w:hint="cs"/>
          <w:noProof w:val="0"/>
          <w:rtl/>
        </w:rPr>
        <w:t xml:space="preserve"> הנדרשים כאמור.</w:t>
      </w:r>
    </w:p>
    <w:p w:rsidR="00CD5D7D" w:rsidRPr="006420ED" w:rsidRDefault="00CD5D7D" w:rsidP="00CD5D7D">
      <w:pPr>
        <w:pStyle w:val="a4"/>
        <w:rPr>
          <w:rFonts w:ascii="Arial" w:hAnsi="Arial"/>
          <w:noProof w:val="0"/>
          <w:rtl/>
        </w:rPr>
      </w:pPr>
    </w:p>
    <w:p w:rsidR="00CD5D7D" w:rsidRPr="00233A68" w:rsidRDefault="00CD5D7D" w:rsidP="00CD5D7D">
      <w:pPr>
        <w:pStyle w:val="a4"/>
        <w:numPr>
          <w:ilvl w:val="0"/>
          <w:numId w:val="1"/>
        </w:numPr>
        <w:spacing w:line="360" w:lineRule="auto"/>
        <w:jc w:val="both"/>
        <w:rPr>
          <w:rFonts w:ascii="Arial" w:hAnsi="Arial"/>
          <w:noProof w:val="0"/>
        </w:rPr>
      </w:pPr>
      <w:r w:rsidRPr="00233A68">
        <w:rPr>
          <w:rFonts w:ascii="Arial" w:hAnsi="Arial" w:hint="cs"/>
          <w:noProof w:val="0"/>
          <w:rtl/>
        </w:rPr>
        <w:t>אין חולק, כי דחיית המועד לפירוק השיתוף משמעה פגיעה בזכות הקניין של מי מבני הזוג החפץ בפירוק מידי</w:t>
      </w:r>
      <w:r>
        <w:rPr>
          <w:rFonts w:ascii="Arial" w:hAnsi="Arial" w:hint="cs"/>
          <w:noProof w:val="0"/>
          <w:rtl/>
        </w:rPr>
        <w:t xml:space="preserve">,  שהיא כידוע זכות חוקתית </w:t>
      </w:r>
      <w:r w:rsidRPr="00233A68">
        <w:rPr>
          <w:rFonts w:ascii="Arial" w:hAnsi="Arial" w:hint="cs"/>
          <w:noProof w:val="0"/>
          <w:rtl/>
        </w:rPr>
        <w:t xml:space="preserve">המעוגנת בחוק יסוד: כבוד האדם וחירותו. ברם, לערכאה השיפוטית כמו </w:t>
      </w:r>
      <w:r>
        <w:rPr>
          <w:rFonts w:ascii="Arial" w:hAnsi="Arial" w:hint="cs"/>
          <w:noProof w:val="0"/>
          <w:rtl/>
        </w:rPr>
        <w:t xml:space="preserve">גם </w:t>
      </w:r>
      <w:r w:rsidRPr="00233A68">
        <w:rPr>
          <w:rFonts w:ascii="Arial" w:hAnsi="Arial" w:hint="cs"/>
          <w:noProof w:val="0"/>
          <w:rtl/>
        </w:rPr>
        <w:t xml:space="preserve">לרשות המנהלית הסמכות להתיר פגיעה מעין זו ככל שהיא </w:t>
      </w:r>
      <w:r>
        <w:rPr>
          <w:rFonts w:ascii="Arial" w:hAnsi="Arial" w:hint="cs"/>
          <w:noProof w:val="0"/>
          <w:rtl/>
        </w:rPr>
        <w:t xml:space="preserve">נעשית </w:t>
      </w:r>
      <w:r w:rsidRPr="00233A68">
        <w:rPr>
          <w:rFonts w:ascii="Arial" w:hAnsi="Arial" w:hint="cs"/>
          <w:noProof w:val="0"/>
          <w:rtl/>
        </w:rPr>
        <w:t>לתכלית ראויה ו</w:t>
      </w:r>
      <w:r>
        <w:rPr>
          <w:rFonts w:ascii="Arial" w:hAnsi="Arial" w:hint="cs"/>
          <w:noProof w:val="0"/>
          <w:rtl/>
        </w:rPr>
        <w:t xml:space="preserve">היא </w:t>
      </w:r>
      <w:r w:rsidRPr="00233A68">
        <w:rPr>
          <w:rFonts w:ascii="Arial" w:hAnsi="Arial" w:hint="cs"/>
          <w:noProof w:val="0"/>
          <w:rtl/>
        </w:rPr>
        <w:t xml:space="preserve">מידתית.  </w:t>
      </w:r>
    </w:p>
    <w:p w:rsidR="00CD5D7D" w:rsidRDefault="00CD5D7D" w:rsidP="00CD5D7D">
      <w:pPr>
        <w:pStyle w:val="a4"/>
        <w:spacing w:line="360" w:lineRule="auto"/>
        <w:jc w:val="both"/>
        <w:rPr>
          <w:rFonts w:ascii="Arial" w:hAnsi="Arial"/>
          <w:noProof w:val="0"/>
        </w:rPr>
      </w:pPr>
    </w:p>
    <w:p w:rsidR="00CD5D7D" w:rsidRDefault="00CD5D7D" w:rsidP="00CD5D7D">
      <w:pPr>
        <w:pStyle w:val="a4"/>
        <w:numPr>
          <w:ilvl w:val="0"/>
          <w:numId w:val="1"/>
        </w:numPr>
        <w:spacing w:line="360" w:lineRule="auto"/>
        <w:jc w:val="both"/>
        <w:rPr>
          <w:rFonts w:ascii="Arial" w:hAnsi="Arial"/>
          <w:noProof w:val="0"/>
        </w:rPr>
      </w:pPr>
      <w:r w:rsidRPr="00691D87">
        <w:rPr>
          <w:rFonts w:ascii="Arial" w:hAnsi="Arial"/>
          <w:noProof w:val="0"/>
          <w:rtl/>
        </w:rPr>
        <w:t xml:space="preserve">במקרה שלפנינו לא </w:t>
      </w:r>
      <w:r w:rsidRPr="00691D87">
        <w:rPr>
          <w:rFonts w:ascii="Arial" w:hAnsi="Arial" w:hint="cs"/>
          <w:noProof w:val="0"/>
          <w:rtl/>
        </w:rPr>
        <w:t>מצאתי כי דרך הילוכו של בית המשפט קמא אינה עולה בקנה אחד עם חובתו שבדין ולא מצאתי, כי הפגיעה בזכות הקניין של המבקש אינה מידתית ו/או אינה לתכלית ראויה. לשון אחר: בית המשפט קמא פעל במסגרת מרחב שיקול הדעת המסור בידו והחלטותיו אינן חורגות כלל ועיקר מגבולות הגזרה ששורטטו ע"י הדין</w:t>
      </w:r>
      <w:r>
        <w:rPr>
          <w:rFonts w:ascii="Arial" w:hAnsi="Arial" w:hint="cs"/>
          <w:noProof w:val="0"/>
          <w:rtl/>
        </w:rPr>
        <w:t>.</w:t>
      </w:r>
    </w:p>
    <w:p w:rsidR="00CD5D7D" w:rsidRPr="00691D87" w:rsidRDefault="00CD5D7D" w:rsidP="00CD5D7D">
      <w:pPr>
        <w:pStyle w:val="a4"/>
        <w:rPr>
          <w:rFonts w:ascii="Arial" w:hAnsi="Arial"/>
          <w:noProof w:val="0"/>
          <w:rtl/>
        </w:rPr>
      </w:pPr>
    </w:p>
    <w:p w:rsidR="00CD5D7D" w:rsidRPr="00691D87" w:rsidRDefault="00CD5D7D" w:rsidP="00CD5D7D">
      <w:pPr>
        <w:pStyle w:val="a4"/>
        <w:numPr>
          <w:ilvl w:val="0"/>
          <w:numId w:val="1"/>
        </w:numPr>
        <w:spacing w:line="360" w:lineRule="auto"/>
        <w:jc w:val="both"/>
        <w:rPr>
          <w:rFonts w:ascii="Arial" w:hAnsi="Arial"/>
          <w:noProof w:val="0"/>
        </w:rPr>
      </w:pPr>
      <w:r>
        <w:rPr>
          <w:rFonts w:ascii="Arial" w:hAnsi="Arial" w:hint="cs"/>
          <w:noProof w:val="0"/>
          <w:rtl/>
        </w:rPr>
        <w:t>וד</w:t>
      </w:r>
      <w:r w:rsidRPr="00691D87">
        <w:rPr>
          <w:rFonts w:ascii="Arial" w:hAnsi="Arial" w:hint="cs"/>
          <w:noProof w:val="0"/>
          <w:rtl/>
        </w:rPr>
        <w:t>וק, מעיון בתיק המתנהל בבית המשפט קמא עולה, כי בשים לב לפערים בגרסות הצדדים בעניין מצבו הכלכלי של המבקש והיקף נכסיו, מונה ביום 15.12.2022 מומחה מטעם בית המשפט כאקטואר וכרו"ח חוקר. עוד עולה, כי המבקש התמהמה ולא הסדיר ההתקשרות עם המומחה עד כי ביום 02.02.2023 נשלח על ידו עדכון לבית המשפט בעניין ונדרשה החלטה שיפוטית המורה למבקש להסיר המחדל האמור. ביני לביני הודע לבית המשפט על ניהול מו"מ בין הצדדים, ובהמשך - ביום 17.04.2023 הודיע ב"כ המשיבה, כי המו"מ לא נשא פרי  ומשכך עתר הוא בשמה כי בית המשפט יחייב המבקש לשאת בתשלום שכר טרחת המומחה בהתאם להחלטות הקודמות ולשתף עמו פעולה ללא דיחוי. או אז באו לעולם הבקשות מושא ההחלטות עליהן המבקש משיג בהליך שלפנינו.</w:t>
      </w:r>
    </w:p>
    <w:p w:rsidR="00CD5D7D" w:rsidRPr="00422F63" w:rsidRDefault="00CD5D7D" w:rsidP="00CD5D7D">
      <w:pPr>
        <w:pStyle w:val="a4"/>
        <w:rPr>
          <w:rFonts w:ascii="Arial" w:hAnsi="Arial"/>
          <w:noProof w:val="0"/>
          <w:rtl/>
        </w:rPr>
      </w:pPr>
    </w:p>
    <w:p w:rsidR="00CD5D7D" w:rsidRDefault="00CD5D7D" w:rsidP="00CD5D7D">
      <w:pPr>
        <w:pStyle w:val="a4"/>
        <w:spacing w:line="360" w:lineRule="auto"/>
        <w:jc w:val="both"/>
        <w:rPr>
          <w:rFonts w:ascii="Arial" w:hAnsi="Arial"/>
          <w:noProof w:val="0"/>
        </w:rPr>
      </w:pPr>
      <w:r>
        <w:rPr>
          <w:rFonts w:ascii="Arial" w:hAnsi="Arial" w:hint="cs"/>
          <w:noProof w:val="0"/>
          <w:rtl/>
        </w:rPr>
        <w:t xml:space="preserve">להשלמת התמונה יצוין, כי מעיון בתיק המתנהל בבית המשפט קמא עולה, כי גם לאחר שניתנו ההחלטות האמורות, שבה ועתרה המשיבה כי בית המשפט יורה למבקש לשתף פעולה עם המומחה. </w:t>
      </w:r>
    </w:p>
    <w:p w:rsidR="00CD5D7D" w:rsidRPr="00AC7C26" w:rsidRDefault="00CD5D7D" w:rsidP="00CD5D7D">
      <w:pPr>
        <w:pStyle w:val="a4"/>
        <w:rPr>
          <w:rFonts w:ascii="Arial" w:hAnsi="Arial"/>
          <w:noProof w:val="0"/>
          <w:rtl/>
        </w:rPr>
      </w:pPr>
    </w:p>
    <w:p w:rsidR="00CD5D7D" w:rsidRDefault="00CD5D7D" w:rsidP="00CD5D7D">
      <w:pPr>
        <w:pStyle w:val="a4"/>
        <w:numPr>
          <w:ilvl w:val="0"/>
          <w:numId w:val="1"/>
        </w:numPr>
        <w:spacing w:line="360" w:lineRule="auto"/>
        <w:jc w:val="both"/>
        <w:rPr>
          <w:rFonts w:ascii="Arial" w:hAnsi="Arial"/>
          <w:noProof w:val="0"/>
        </w:rPr>
      </w:pPr>
      <w:r w:rsidRPr="00561154">
        <w:rPr>
          <w:rFonts w:ascii="Arial" w:hAnsi="Arial" w:hint="cs"/>
          <w:noProof w:val="0"/>
          <w:rtl/>
        </w:rPr>
        <w:t>עינינו הרואות, כי ככל שנוצר עיכוב בקידום ההליך ובקבלת חוות דעת המומחה, רובץ הוא בעיקר</w:t>
      </w:r>
      <w:r>
        <w:rPr>
          <w:rFonts w:ascii="Arial" w:hAnsi="Arial" w:hint="cs"/>
          <w:noProof w:val="0"/>
          <w:rtl/>
        </w:rPr>
        <w:t>, אם לא בלבד,</w:t>
      </w:r>
      <w:r w:rsidRPr="00561154">
        <w:rPr>
          <w:rFonts w:ascii="Arial" w:hAnsi="Arial" w:hint="cs"/>
          <w:noProof w:val="0"/>
          <w:rtl/>
        </w:rPr>
        <w:t xml:space="preserve"> לפתחו של המבקש, ובנסיבות אלו לא נפל פגם בהחלטות נושא הבקשה שלפניי על פיהן מצא לנכון בית המשפט קמא להשהות פירוק השיתוף בבית המגורים ולחייב המשיבה לשאת במחצית החוב למס הכנסה עד אשר יתבהרו הדברים ותיפרס בפניו מלוא תמונת הנכסים והזכויות של הצדדים ו</w:t>
      </w:r>
      <w:r>
        <w:rPr>
          <w:rFonts w:ascii="Arial" w:hAnsi="Arial" w:hint="cs"/>
          <w:noProof w:val="0"/>
          <w:rtl/>
        </w:rPr>
        <w:t xml:space="preserve">משכך, </w:t>
      </w:r>
      <w:r w:rsidRPr="00561154">
        <w:rPr>
          <w:rFonts w:ascii="Arial" w:hAnsi="Arial" w:hint="cs"/>
          <w:noProof w:val="0"/>
          <w:rtl/>
        </w:rPr>
        <w:t>מקום להתערב בהן.</w:t>
      </w:r>
      <w:r>
        <w:rPr>
          <w:rFonts w:ascii="Arial" w:hAnsi="Arial" w:hint="cs"/>
          <w:noProof w:val="0"/>
          <w:rtl/>
        </w:rPr>
        <w:t xml:space="preserve"> </w:t>
      </w:r>
    </w:p>
    <w:p w:rsidR="00CD5D7D" w:rsidRDefault="00CD5D7D" w:rsidP="00CD5D7D">
      <w:pPr>
        <w:pStyle w:val="a4"/>
        <w:spacing w:line="360" w:lineRule="auto"/>
        <w:jc w:val="both"/>
        <w:rPr>
          <w:rFonts w:ascii="Arial" w:hAnsi="Arial"/>
          <w:noProof w:val="0"/>
          <w:rtl/>
        </w:rPr>
      </w:pPr>
    </w:p>
    <w:p w:rsidR="00CD5D7D" w:rsidRPr="00561154" w:rsidRDefault="00CD5D7D" w:rsidP="00CD5D7D">
      <w:pPr>
        <w:pStyle w:val="a4"/>
        <w:spacing w:line="360" w:lineRule="auto"/>
        <w:jc w:val="both"/>
        <w:rPr>
          <w:rFonts w:ascii="Arial" w:hAnsi="Arial"/>
          <w:noProof w:val="0"/>
        </w:rPr>
      </w:pPr>
      <w:r>
        <w:rPr>
          <w:rFonts w:ascii="Arial" w:hAnsi="Arial" w:hint="cs"/>
          <w:noProof w:val="0"/>
          <w:rtl/>
        </w:rPr>
        <w:t>מכל מקום, אין המדובר בפרק זמן ממושך שחלף ממועד פקיעת נישואי הצדדים ועד לקבלת ההחלטות נושא הבקשה שלפנינו, וגם את זאת יש לזכור.</w:t>
      </w:r>
      <w:r w:rsidRPr="00561154">
        <w:rPr>
          <w:rFonts w:ascii="Arial" w:hAnsi="Arial" w:hint="cs"/>
          <w:noProof w:val="0"/>
          <w:rtl/>
        </w:rPr>
        <w:t xml:space="preserve">    </w:t>
      </w:r>
    </w:p>
    <w:p w:rsidR="00CD5D7D" w:rsidRDefault="00CD5D7D" w:rsidP="00CD5D7D">
      <w:pPr>
        <w:spacing w:line="360" w:lineRule="auto"/>
        <w:jc w:val="both"/>
        <w:rPr>
          <w:rFonts w:ascii="Arial" w:hAnsi="Arial"/>
          <w:noProof w:val="0"/>
          <w:rtl/>
        </w:rPr>
      </w:pPr>
    </w:p>
    <w:p w:rsidR="00CD5D7D" w:rsidRDefault="00CD5D7D" w:rsidP="00CD5D7D">
      <w:pPr>
        <w:pStyle w:val="a4"/>
        <w:numPr>
          <w:ilvl w:val="0"/>
          <w:numId w:val="1"/>
        </w:numPr>
        <w:spacing w:line="360" w:lineRule="auto"/>
        <w:jc w:val="both"/>
        <w:rPr>
          <w:rFonts w:ascii="Arial" w:hAnsi="Arial"/>
          <w:noProof w:val="0"/>
          <w:rtl/>
        </w:rPr>
      </w:pPr>
      <w:r>
        <w:rPr>
          <w:rFonts w:ascii="Arial" w:hAnsi="Arial" w:hint="cs"/>
          <w:noProof w:val="0"/>
          <w:rtl/>
        </w:rPr>
        <w:t xml:space="preserve">על רקע האמור, קשה להשתחרר מן הרושם, שהגשת הבקשות מושא ההחלטות עליהן משיג המבקש בהליך דנא, שהוכתרו כ"דחופות ביותר" (כשבכל הנוגע לביצוע מלאכת המומחה לא אצה לו הדרך כלל) נגועה בחוסר תום לב. כידוע, חובת תום הלב חולשת גם על ניהול הליכי המשפט ועל העמידה על מימוש זכויות. בהקשר זה של דרישה לפירוק שיתוף בנכס מקרקעין ע"י מי מבני הזוג וחובת תום הלב כשיקול נוסף שעל בית המשפט להביא בחשבון שיקוליו, היטיב לתאר זאת  </w:t>
      </w:r>
      <w:r>
        <w:rPr>
          <w:rFonts w:ascii="Arial" w:hAnsi="Arial"/>
          <w:noProof w:val="0"/>
          <w:rtl/>
        </w:rPr>
        <w:t>פרופ' רוזן צבי ז"ל בספרו:</w:t>
      </w:r>
    </w:p>
    <w:p w:rsidR="00CD5D7D" w:rsidRDefault="00CD5D7D" w:rsidP="00CD5D7D">
      <w:pPr>
        <w:pStyle w:val="a4"/>
        <w:rPr>
          <w:rFonts w:ascii="Arial" w:hAnsi="Arial"/>
          <w:noProof w:val="0"/>
        </w:rPr>
      </w:pPr>
    </w:p>
    <w:p w:rsidR="00CD5D7D" w:rsidRDefault="00CD5D7D" w:rsidP="00CD5D7D">
      <w:pPr>
        <w:pStyle w:val="a5"/>
        <w:ind w:left="1440"/>
        <w:rPr>
          <w:rtl/>
        </w:rPr>
      </w:pPr>
      <w:r>
        <w:rPr>
          <w:rtl/>
        </w:rPr>
        <w:t xml:space="preserve">"... גם זכויות קנייניות – אף במסגרת חוק המקרקעין, תשכ״ט-1969, ותביעות על בסיסן של אלה כפופות לעיקרון תום הלב....גם זכות המוגדרת כמוחלטת כפופה לעיקרון תום הלב. צירוף העיקרון הרחב של תום הלב לכללים הספציפיים, שכבר פותחו – ושעניינם החלת עיקרון תום הלב על ביצוע פעולה משפטית, על הגשת תביעה ועל שימוש בזכויות קנייניות – מלמד, כי גם תביעה לפירוק שיתוף במקרקעין כפופה לעיקרון תום הלב. </w:t>
      </w:r>
    </w:p>
    <w:p w:rsidR="00CD5D7D" w:rsidRDefault="00CD5D7D" w:rsidP="00CD5D7D">
      <w:pPr>
        <w:pStyle w:val="a5"/>
        <w:ind w:left="1440"/>
        <w:rPr>
          <w:rtl/>
        </w:rPr>
      </w:pPr>
      <w:r>
        <w:rPr>
          <w:rtl/>
        </w:rPr>
        <w:t xml:space="preserve">השאלה היא, אילו סטנדרטים ימלאו את תוכנו של עיקרון תום הלב בהקשר של פירוק שיתוף בין בני זוג. שיקול הדעת של בית המשפט במסגרת עיקרון תום הלב מאפשר התייחסות מיוחדת לסיטואציה של פירוק שיתוף בין בני זוג, על רקעם של דיני המשפחה בישראל. גמישותו של עיקרון תום הלב ורקמתו הפתוחה מאפשרים להביא בחשבון את שיקולי המדיניות המיוחדים בסוגיה זו של הליכי פירוק שיתוף בנכס בין בני זוג. היקף השימוש בעיקרון תום הלב והנסיבות המתאימות למטרה זו אינם טעונים הגדרה מפורטת מראש. ניתן לומר, כי כאשר אין התובע מפיק שום תועלת מפירוק השיתוף, או כאשר מטרתו היא לנצל את מצוקתו של האחר ולהפעילם עליו לחצים קשים ללא הצדקה, הוא משתמש בזכות לפירוק שיתוף בחוסר תום לב.״ </w:t>
      </w:r>
      <w:r>
        <w:rPr>
          <w:b w:val="0"/>
          <w:bCs w:val="0"/>
          <w:rtl/>
        </w:rPr>
        <w:t>(א</w:t>
      </w:r>
      <w:r>
        <w:rPr>
          <w:rFonts w:hint="cs"/>
          <w:b w:val="0"/>
          <w:bCs w:val="0"/>
          <w:rtl/>
        </w:rPr>
        <w:t>'</w:t>
      </w:r>
      <w:r>
        <w:rPr>
          <w:b w:val="0"/>
          <w:bCs w:val="0"/>
          <w:rtl/>
        </w:rPr>
        <w:t xml:space="preserve"> רוזן צבי, </w:t>
      </w:r>
      <w:r>
        <w:rPr>
          <w:rtl/>
        </w:rPr>
        <w:t>דיני המשפחה בישראל – בין קודש לחול</w:t>
      </w:r>
      <w:r>
        <w:rPr>
          <w:b w:val="0"/>
          <w:bCs w:val="0"/>
          <w:rtl/>
        </w:rPr>
        <w:t xml:space="preserve">, </w:t>
      </w:r>
      <w:r>
        <w:rPr>
          <w:rFonts w:hint="cs"/>
          <w:b w:val="0"/>
          <w:bCs w:val="0"/>
          <w:rtl/>
        </w:rPr>
        <w:t>(1990)</w:t>
      </w:r>
      <w:r>
        <w:rPr>
          <w:b w:val="0"/>
          <w:bCs w:val="0"/>
          <w:rtl/>
        </w:rPr>
        <w:t>, עמ׳ 466-468).</w:t>
      </w:r>
    </w:p>
    <w:p w:rsidR="00CD5D7D" w:rsidRDefault="00CD5D7D" w:rsidP="00CD5D7D">
      <w:pPr>
        <w:pStyle w:val="a4"/>
        <w:rPr>
          <w:rFonts w:ascii="Arial" w:hAnsi="Arial"/>
          <w:noProof w:val="0"/>
          <w:rtl/>
        </w:rPr>
      </w:pPr>
    </w:p>
    <w:p w:rsidR="00CD5D7D" w:rsidRDefault="00CD5D7D" w:rsidP="00CD5D7D">
      <w:pPr>
        <w:jc w:val="both"/>
        <w:rPr>
          <w:rFonts w:ascii="Arial" w:hAnsi="Arial"/>
          <w:noProof w:val="0"/>
          <w:rtl/>
        </w:rPr>
      </w:pPr>
    </w:p>
    <w:p w:rsidR="00CD5D7D" w:rsidRDefault="00CD5D7D" w:rsidP="00CD5D7D">
      <w:pPr>
        <w:pStyle w:val="a4"/>
        <w:numPr>
          <w:ilvl w:val="0"/>
          <w:numId w:val="1"/>
        </w:numPr>
        <w:spacing w:line="360" w:lineRule="auto"/>
        <w:jc w:val="both"/>
        <w:rPr>
          <w:rFonts w:ascii="Arial" w:hAnsi="Arial"/>
          <w:noProof w:val="0"/>
        </w:rPr>
      </w:pPr>
      <w:r w:rsidRPr="00275997">
        <w:rPr>
          <w:rFonts w:ascii="Arial" w:hAnsi="Arial" w:hint="cs"/>
          <w:noProof w:val="0"/>
          <w:rtl/>
        </w:rPr>
        <w:t>ודוק, דרישות המבקש לפירוק שיתוף מידי ולחיוב המשיבה לשאת במחצית החוב למס הכנסה שהו</w:t>
      </w:r>
      <w:r>
        <w:rPr>
          <w:rFonts w:ascii="Arial" w:hAnsi="Arial" w:hint="cs"/>
          <w:noProof w:val="0"/>
          <w:rtl/>
        </w:rPr>
        <w:t>גשו</w:t>
      </w:r>
      <w:r w:rsidRPr="00275997">
        <w:rPr>
          <w:rFonts w:ascii="Arial" w:hAnsi="Arial" w:hint="cs"/>
          <w:noProof w:val="0"/>
          <w:rtl/>
        </w:rPr>
        <w:t>, כאמור, כבקשות בהולות, עת ספק אם במועד העלאתן החל כבר המומחה בביצוע מלאכתו נוכח העדר שיתוף פעולה מצד המבקש, וכל שמונח בפני בית המשפט קמא הוא טענות קוטביות בעניין מצבו הכלכלי של המבקש בעוד המשיבה מועסקת כשכירה ומצבה הכלכלי</w:t>
      </w:r>
      <w:r>
        <w:rPr>
          <w:rFonts w:ascii="Arial" w:hAnsi="Arial" w:hint="cs"/>
          <w:noProof w:val="0"/>
          <w:rtl/>
        </w:rPr>
        <w:t xml:space="preserve"> די</w:t>
      </w:r>
      <w:r w:rsidRPr="00275997">
        <w:rPr>
          <w:rFonts w:ascii="Arial" w:hAnsi="Arial" w:hint="cs"/>
          <w:noProof w:val="0"/>
          <w:rtl/>
        </w:rPr>
        <w:t xml:space="preserve"> ידוע, </w:t>
      </w:r>
      <w:r>
        <w:rPr>
          <w:rFonts w:ascii="Arial" w:hAnsi="Arial" w:hint="cs"/>
          <w:noProof w:val="0"/>
          <w:rtl/>
        </w:rPr>
        <w:t>עת</w:t>
      </w:r>
      <w:r w:rsidRPr="00275997">
        <w:rPr>
          <w:rFonts w:ascii="Arial" w:hAnsi="Arial" w:hint="cs"/>
          <w:noProof w:val="0"/>
          <w:rtl/>
        </w:rPr>
        <w:t xml:space="preserve"> על הפרק פירוק שיתוף בבית המגורים המשמש כקורת הגג של המשיבה, נגועות בחוסר תום לב, ובדין ובצדק הורה בית המשפט כשם שהורה, הן באספקלריה של </w:t>
      </w:r>
      <w:r>
        <w:rPr>
          <w:rFonts w:ascii="Arial" w:hAnsi="Arial" w:hint="cs"/>
          <w:noProof w:val="0"/>
          <w:rtl/>
        </w:rPr>
        <w:t xml:space="preserve">הדין והפסיקה והן באספקלריה של </w:t>
      </w:r>
      <w:r w:rsidRPr="00275997">
        <w:rPr>
          <w:rFonts w:ascii="Arial" w:hAnsi="Arial" w:hint="cs"/>
          <w:noProof w:val="0"/>
          <w:rtl/>
        </w:rPr>
        <w:t>חובת תום הלב</w:t>
      </w:r>
      <w:r>
        <w:rPr>
          <w:rFonts w:ascii="Arial" w:hAnsi="Arial" w:hint="cs"/>
          <w:noProof w:val="0"/>
          <w:rtl/>
        </w:rPr>
        <w:t xml:space="preserve"> שאף היא, כמובן, חלק מן הדין.</w:t>
      </w:r>
    </w:p>
    <w:p w:rsidR="00CD5D7D" w:rsidRPr="00275997" w:rsidRDefault="00CD5D7D" w:rsidP="00CD5D7D">
      <w:pPr>
        <w:pStyle w:val="a4"/>
        <w:spacing w:line="360" w:lineRule="auto"/>
        <w:jc w:val="both"/>
        <w:rPr>
          <w:rFonts w:ascii="Arial" w:hAnsi="Arial"/>
          <w:noProof w:val="0"/>
          <w:rtl/>
        </w:rPr>
      </w:pPr>
      <w:r w:rsidRPr="00275997">
        <w:rPr>
          <w:rFonts w:ascii="Arial" w:hAnsi="Arial" w:hint="cs"/>
          <w:noProof w:val="0"/>
          <w:rtl/>
        </w:rPr>
        <w:t xml:space="preserve"> </w:t>
      </w:r>
    </w:p>
    <w:p w:rsidR="00CD5D7D" w:rsidRDefault="00CD5D7D" w:rsidP="00CD5D7D">
      <w:pPr>
        <w:pStyle w:val="a4"/>
        <w:numPr>
          <w:ilvl w:val="0"/>
          <w:numId w:val="1"/>
        </w:numPr>
        <w:spacing w:line="360" w:lineRule="auto"/>
        <w:jc w:val="both"/>
        <w:rPr>
          <w:rFonts w:ascii="Arial" w:hAnsi="Arial"/>
          <w:noProof w:val="0"/>
        </w:rPr>
      </w:pPr>
      <w:r>
        <w:rPr>
          <w:rFonts w:ascii="Arial" w:hAnsi="Arial" w:hint="cs"/>
          <w:noProof w:val="0"/>
          <w:rtl/>
        </w:rPr>
        <w:lastRenderedPageBreak/>
        <w:t xml:space="preserve">על יסוד כל האמור לעיל, בקשת רשות הערעור נדחית. </w:t>
      </w:r>
      <w:r>
        <w:rPr>
          <w:rFonts w:ascii="Arial" w:hAnsi="Arial"/>
          <w:noProof w:val="0"/>
          <w:rtl/>
        </w:rPr>
        <w:t xml:space="preserve"> </w:t>
      </w:r>
    </w:p>
    <w:p w:rsidR="00CD5D7D" w:rsidRDefault="00CD5D7D" w:rsidP="00CD5D7D">
      <w:pPr>
        <w:pStyle w:val="a4"/>
        <w:rPr>
          <w:rFonts w:ascii="Arial" w:hAnsi="Arial"/>
          <w:noProof w:val="0"/>
        </w:rPr>
      </w:pPr>
    </w:p>
    <w:p w:rsidR="00CD5D7D" w:rsidRDefault="00CD5D7D" w:rsidP="00CD5D7D">
      <w:pPr>
        <w:pStyle w:val="a4"/>
        <w:numPr>
          <w:ilvl w:val="0"/>
          <w:numId w:val="1"/>
        </w:numPr>
        <w:spacing w:line="360" w:lineRule="auto"/>
        <w:jc w:val="both"/>
        <w:rPr>
          <w:rFonts w:ascii="David" w:hAnsi="David"/>
          <w:noProof w:val="0"/>
        </w:rPr>
      </w:pPr>
      <w:r>
        <w:rPr>
          <w:rFonts w:ascii="David" w:hAnsi="David"/>
          <w:noProof w:val="0"/>
          <w:rtl/>
        </w:rPr>
        <w:t xml:space="preserve">המבקש יישא בהוצאות המשיבה בסך </w:t>
      </w:r>
      <w:r>
        <w:rPr>
          <w:rFonts w:ascii="David" w:hAnsi="David" w:hint="cs"/>
          <w:noProof w:val="0"/>
          <w:rtl/>
        </w:rPr>
        <w:t>3,500</w:t>
      </w:r>
      <w:r>
        <w:rPr>
          <w:rFonts w:ascii="David" w:hAnsi="David"/>
          <w:noProof w:val="0"/>
          <w:rtl/>
        </w:rPr>
        <w:t xml:space="preserve"> ₪ מתוך העירבון שהופקד על ידו בהליך. היתרה על פירותיה תושב לידיו.  </w:t>
      </w:r>
    </w:p>
    <w:p w:rsidR="00CD5D7D" w:rsidRDefault="00CD5D7D" w:rsidP="00CD5D7D">
      <w:pPr>
        <w:jc w:val="both"/>
        <w:rPr>
          <w:rFonts w:ascii="David" w:hAnsi="David"/>
          <w:noProof w:val="0"/>
        </w:rPr>
      </w:pPr>
    </w:p>
    <w:p w:rsidR="00CD5D7D" w:rsidRDefault="00CD5D7D" w:rsidP="00CD5D7D">
      <w:pPr>
        <w:pStyle w:val="a4"/>
        <w:numPr>
          <w:ilvl w:val="0"/>
          <w:numId w:val="1"/>
        </w:numPr>
        <w:spacing w:line="360" w:lineRule="auto"/>
        <w:jc w:val="both"/>
        <w:rPr>
          <w:rFonts w:ascii="Arial" w:hAnsi="Arial"/>
          <w:noProof w:val="0"/>
          <w:rtl/>
        </w:rPr>
      </w:pPr>
      <w:r>
        <w:rPr>
          <w:rFonts w:ascii="Arial" w:hAnsi="Arial"/>
          <w:noProof w:val="0"/>
          <w:rtl/>
        </w:rPr>
        <w:t xml:space="preserve">המזכירות תמציא ההחלטה לצדדים. </w:t>
      </w:r>
    </w:p>
    <w:p w:rsidR="00CD5D7D" w:rsidRDefault="00CD5D7D" w:rsidP="00CD5D7D">
      <w:pPr>
        <w:pStyle w:val="a4"/>
        <w:rPr>
          <w:rFonts w:ascii="Arial" w:hAnsi="Arial"/>
          <w:noProof w:val="0"/>
        </w:rPr>
      </w:pPr>
    </w:p>
    <w:p w:rsidR="00CD5D7D" w:rsidRDefault="00CD5D7D" w:rsidP="00CD5D7D">
      <w:pPr>
        <w:pStyle w:val="a4"/>
        <w:numPr>
          <w:ilvl w:val="0"/>
          <w:numId w:val="1"/>
        </w:numPr>
        <w:spacing w:line="360" w:lineRule="auto"/>
        <w:jc w:val="both"/>
        <w:rPr>
          <w:rFonts w:ascii="David" w:hAnsi="David"/>
          <w:noProof w:val="0"/>
        </w:rPr>
      </w:pPr>
      <w:r>
        <w:rPr>
          <w:rFonts w:ascii="David" w:hAnsi="David"/>
          <w:noProof w:val="0"/>
          <w:rtl/>
        </w:rPr>
        <w:t xml:space="preserve">ההחלטה ניתנת לפרסום בהיעדר שמות הצדדים ופרטים מזהים נוספים. </w:t>
      </w:r>
    </w:p>
    <w:p w:rsidR="00CD5D7D" w:rsidRDefault="00CD5D7D" w:rsidP="00CD5D7D">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 אב תשפ"ג</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27 יולי 2023</w:t>
          </w:r>
        </w:sdtContent>
      </w:sdt>
      <w:r>
        <w:rPr>
          <w:rFonts w:ascii="Arial" w:hAnsi="Arial"/>
          <w:noProof w:val="0"/>
          <w:rtl/>
        </w:rPr>
        <w:t>, בהעדר הצדדים.</w:t>
      </w:r>
    </w:p>
    <w:p w:rsidR="00CD5D7D" w:rsidRDefault="00CD5D7D" w:rsidP="00CD5D7D">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337888967"/>
        </w:sdtPr>
        <w:sdtEndPr/>
        <w:sdtContent>
          <w:r>
            <w:drawing>
              <wp:inline distT="0" distB="0" distL="0" distR="0" wp14:anchorId="14A034EB" wp14:editId="611ACA33">
                <wp:extent cx="1666875" cy="1047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6" cstate="print">
                          <a:extLst/>
                        </a:blip>
                        <a:stretch>
                          <a:fillRect/>
                        </a:stretch>
                      </pic:blipFill>
                      <pic:spPr>
                        <a:xfrm>
                          <a:off x="0" y="0"/>
                          <a:ext cx="1666875" cy="1047750"/>
                        </a:xfrm>
                        <a:prstGeom prst="rect">
                          <a:avLst/>
                        </a:prstGeom>
                      </pic:spPr>
                    </pic:pic>
                  </a:graphicData>
                </a:graphic>
              </wp:inline>
            </w:drawing>
          </w:r>
        </w:sdtContent>
      </w:sdt>
    </w:p>
    <w:p w:rsidR="00CD5D7D" w:rsidRDefault="00CD5D7D" w:rsidP="00CD5D7D">
      <w:pPr>
        <w:tabs>
          <w:tab w:val="left" w:pos="2553"/>
        </w:tabs>
        <w:rPr>
          <w:rFonts w:ascii="Arial" w:hAnsi="Arial"/>
          <w:noProof w:val="0"/>
          <w:rtl/>
        </w:rPr>
      </w:pPr>
    </w:p>
    <w:p w:rsidR="000C3BE2" w:rsidRDefault="000C3BE2"/>
    <w:sectPr w:rsidR="000C3BE2" w:rsidSect="00897C85">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434AA3"/>
    <w:multiLevelType w:val="hybridMultilevel"/>
    <w:tmpl w:val="3B743F3E"/>
    <w:lvl w:ilvl="0" w:tplc="B5087E2C">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5D7D"/>
    <w:rsid w:val="000C3BE2"/>
    <w:rsid w:val="007317F4"/>
    <w:rsid w:val="00897C85"/>
    <w:rsid w:val="00CD5D7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FC90A5-B10A-4666-97BD-6B10A74C3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5D7D"/>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D5D7D"/>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D5D7D"/>
    <w:pPr>
      <w:ind w:left="720"/>
      <w:contextualSpacing/>
    </w:pPr>
  </w:style>
  <w:style w:type="paragraph" w:styleId="a5">
    <w:name w:val="Quote"/>
    <w:basedOn w:val="a"/>
    <w:link w:val="a6"/>
    <w:qFormat/>
    <w:rsid w:val="00CD5D7D"/>
    <w:pPr>
      <w:spacing w:line="360" w:lineRule="auto"/>
      <w:ind w:left="720" w:right="1276"/>
      <w:jc w:val="both"/>
    </w:pPr>
    <w:rPr>
      <w:b/>
      <w:bCs/>
      <w:noProof w:val="0"/>
      <w:sz w:val="20"/>
    </w:rPr>
  </w:style>
  <w:style w:type="character" w:customStyle="1" w:styleId="a6">
    <w:name w:val="ציטוט תו"/>
    <w:basedOn w:val="a0"/>
    <w:link w:val="a5"/>
    <w:rsid w:val="00CD5D7D"/>
    <w:rPr>
      <w:rFonts w:ascii="Times New Roman" w:eastAsia="Times New Roman" w:hAnsi="Times New Roman" w:cs="David"/>
      <w:b/>
      <w:bCs/>
      <w:sz w:val="20"/>
      <w:szCs w:val="24"/>
    </w:rPr>
  </w:style>
  <w:style w:type="paragraph" w:styleId="a7">
    <w:name w:val="header"/>
    <w:basedOn w:val="a"/>
    <w:link w:val="a8"/>
    <w:rsid w:val="00CD5D7D"/>
    <w:pPr>
      <w:tabs>
        <w:tab w:val="center" w:pos="4153"/>
        <w:tab w:val="right" w:pos="8306"/>
      </w:tabs>
    </w:pPr>
  </w:style>
  <w:style w:type="character" w:customStyle="1" w:styleId="a8">
    <w:name w:val="כותרת עליונה תו"/>
    <w:basedOn w:val="a0"/>
    <w:link w:val="a7"/>
    <w:rsid w:val="00CD5D7D"/>
    <w:rPr>
      <w:rFonts w:ascii="Times New Roman" w:eastAsia="Times New Roman" w:hAnsi="Times New Roman" w:cs="David"/>
      <w:noProof/>
      <w:sz w:val="24"/>
      <w:szCs w:val="24"/>
    </w:rPr>
  </w:style>
  <w:style w:type="paragraph" w:styleId="NormalWeb">
    <w:name w:val="Normal (Web)"/>
    <w:basedOn w:val="a"/>
    <w:uiPriority w:val="99"/>
    <w:semiHidden/>
    <w:unhideWhenUsed/>
    <w:rsid w:val="00CD5D7D"/>
    <w:pPr>
      <w:bidi w:val="0"/>
      <w:spacing w:before="100" w:beforeAutospacing="1" w:after="100" w:afterAutospacing="1"/>
    </w:pPr>
    <w:rPr>
      <w:rFonts w:eastAsiaTheme="minorEastAsia"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2600FC680824827BA47A34FC87FF179"/>
        <w:category>
          <w:name w:val="כללי"/>
          <w:gallery w:val="placeholder"/>
        </w:category>
        <w:types>
          <w:type w:val="bbPlcHdr"/>
        </w:types>
        <w:behaviors>
          <w:behavior w:val="content"/>
        </w:behaviors>
        <w:guid w:val="{51113239-6096-459C-A823-D1D8EE06554B}"/>
      </w:docPartPr>
      <w:docPartBody>
        <w:p w:rsidR="0092571B" w:rsidRDefault="004E5FC3" w:rsidP="004E5FC3">
          <w:pPr>
            <w:pStyle w:val="32600FC680824827BA47A34FC87FF179"/>
          </w:pPr>
          <w:r>
            <w:rPr>
              <w:rFonts w:ascii="Arial" w:hAnsi="Arial"/>
              <w:b/>
              <w:bCs/>
              <w:sz w:val="26"/>
              <w:szCs w:val="26"/>
              <w:rtl/>
            </w:rPr>
            <w:t>שם צד א' ללא שם של חסוי</w:t>
          </w:r>
        </w:p>
      </w:docPartBody>
    </w:docPart>
    <w:docPart>
      <w:docPartPr>
        <w:name w:val="9765CAF4978448CFA9BD99086EB2BE90"/>
        <w:category>
          <w:name w:val="כללי"/>
          <w:gallery w:val="placeholder"/>
        </w:category>
        <w:types>
          <w:type w:val="bbPlcHdr"/>
        </w:types>
        <w:behaviors>
          <w:behavior w:val="content"/>
        </w:behaviors>
        <w:guid w:val="{A3F06DBB-46C7-424E-A122-1320F45351A0}"/>
      </w:docPartPr>
      <w:docPartBody>
        <w:p w:rsidR="0092571B" w:rsidRDefault="004E5FC3" w:rsidP="004E5FC3">
          <w:pPr>
            <w:pStyle w:val="9765CAF4978448CFA9BD99086EB2BE90"/>
          </w:pPr>
          <w:r>
            <w:rPr>
              <w:rFonts w:ascii="Arial" w:hAnsi="Arial"/>
              <w:b/>
              <w:bCs/>
              <w:sz w:val="26"/>
              <w:szCs w:val="26"/>
              <w:rtl/>
            </w:rPr>
            <w:t>שם צד ב' ללא שם של חסוי</w:t>
          </w:r>
        </w:p>
      </w:docPartBody>
    </w:docPart>
    <w:docPart>
      <w:docPartPr>
        <w:name w:val="6C6E26CFFB894989AAF8B0E2BE09F19D"/>
        <w:category>
          <w:name w:val="כללי"/>
          <w:gallery w:val="placeholder"/>
        </w:category>
        <w:types>
          <w:type w:val="bbPlcHdr"/>
        </w:types>
        <w:behaviors>
          <w:behavior w:val="content"/>
        </w:behaviors>
        <w:guid w:val="{ACB1632E-3832-4DF9-BEC3-40BC315C5777}"/>
      </w:docPartPr>
      <w:docPartBody>
        <w:p w:rsidR="0092571B" w:rsidRDefault="004E5FC3" w:rsidP="004E5FC3">
          <w:pPr>
            <w:pStyle w:val="6C6E26CFFB894989AAF8B0E2BE09F19D"/>
          </w:pPr>
          <w:r>
            <w:rPr>
              <w:b/>
              <w:bCs/>
              <w:sz w:val="26"/>
              <w:szCs w:val="26"/>
              <w:rtl/>
            </w:rPr>
            <w:t>שם תיק ללא שמות חסויים</w:t>
          </w:r>
        </w:p>
      </w:docPartBody>
    </w:docPart>
    <w:docPart>
      <w:docPartPr>
        <w:name w:val="9AFC13C500C04921A28F418F942C4EEF"/>
        <w:category>
          <w:name w:val="כללי"/>
          <w:gallery w:val="placeholder"/>
        </w:category>
        <w:types>
          <w:type w:val="bbPlcHdr"/>
        </w:types>
        <w:behaviors>
          <w:behavior w:val="content"/>
        </w:behaviors>
        <w:guid w:val="{600EB331-83C0-41D6-B8F3-AA8C588C537E}"/>
      </w:docPartPr>
      <w:docPartBody>
        <w:p w:rsidR="0092571B" w:rsidRDefault="004E5FC3" w:rsidP="004E5FC3">
          <w:pPr>
            <w:pStyle w:val="9AFC13C500C04921A28F418F942C4EEF"/>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5FC3"/>
    <w:rsid w:val="004E420A"/>
    <w:rsid w:val="004E5FC3"/>
    <w:rsid w:val="0092571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2600FC680824827BA47A34FC87FF179">
    <w:name w:val="32600FC680824827BA47A34FC87FF179"/>
    <w:rsid w:val="004E5FC3"/>
    <w:pPr>
      <w:bidi/>
    </w:pPr>
  </w:style>
  <w:style w:type="paragraph" w:customStyle="1" w:styleId="9765CAF4978448CFA9BD99086EB2BE90">
    <w:name w:val="9765CAF4978448CFA9BD99086EB2BE90"/>
    <w:rsid w:val="004E5FC3"/>
    <w:pPr>
      <w:bidi/>
    </w:pPr>
  </w:style>
  <w:style w:type="paragraph" w:customStyle="1" w:styleId="6C6E26CFFB894989AAF8B0E2BE09F19D">
    <w:name w:val="6C6E26CFFB894989AAF8B0E2BE09F19D"/>
    <w:rsid w:val="004E5FC3"/>
    <w:pPr>
      <w:bidi/>
    </w:pPr>
  </w:style>
  <w:style w:type="paragraph" w:customStyle="1" w:styleId="9AFC13C500C04921A28F418F942C4EEF">
    <w:name w:val="9AFC13C500C04921A28F418F942C4EEF"/>
    <w:rsid w:val="004E5FC3"/>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2089</Words>
  <Characters>10446</Characters>
  <Application>Microsoft Office Word</Application>
  <DocSecurity>0</DocSecurity>
  <Lines>87</Lines>
  <Paragraphs>25</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פאני גילת כהן</dc:creator>
  <cp:keywords/>
  <dc:description/>
  <cp:lastModifiedBy>אסתר טטרואשילי</cp:lastModifiedBy>
  <cp:revision>2</cp:revision>
  <dcterms:created xsi:type="dcterms:W3CDTF">2023-08-06T06:14:00Z</dcterms:created>
  <dcterms:modified xsi:type="dcterms:W3CDTF">2023-08-06T06:14:00Z</dcterms:modified>
</cp:coreProperties>
</file>